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6089d8k.htm"/>
      <w:bookmarkStart w:id="1" w:name="ksd16608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October 21,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Smith &amp; Wesson Brands,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Nevada</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001-31552</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87-0543688</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1852 Proffitt Springs Road</w:t>
      </w:r>
    </w:p>
    <w:p>
      <w:pPr>
        <w:pStyle w:val="TextBody"/>
        <w:bidi w:val="0"/>
        <w:spacing w:before="0" w:after="0"/>
        <w:jc w:val="center"/>
        <w:rPr>
          <w:rFonts w:ascii="Times New Roman" w:hAnsi="Times New Roman"/>
          <w:b/>
          <w:sz w:val="20"/>
        </w:rPr>
      </w:pPr>
      <w:r>
        <w:rPr>
          <w:rFonts w:ascii="Times New Roman" w:hAnsi="Times New Roman"/>
          <w:b/>
          <w:sz w:val="20"/>
        </w:rPr>
        <w:t>Maryville, Tennessee 37801</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200" w:after="0"/>
        <w:jc w:val="center"/>
        <w:rPr>
          <w:rFonts w:ascii="Times New Roman" w:hAnsi="Times New Roman"/>
          <w:b/>
          <w:sz w:val="20"/>
        </w:rPr>
      </w:pPr>
      <w:r>
        <w:rPr>
          <w:rFonts w:ascii="Times New Roman" w:hAnsi="Times New Roman"/>
          <w:b/>
          <w:sz w:val="20"/>
        </w:rPr>
        <w:t>(800) 331-0852</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sz w:val="20"/>
          <w:u w:val="single"/>
        </w:rPr>
        <w:t>see</w:t>
      </w:r>
      <w:r>
        <w:rPr>
          <w:rFonts w:ascii="Times New Roman" w:hAnsi="Times New Roman"/>
          <w:sz w:val="20"/>
        </w:rPr>
        <w:t xml:space="preserv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950" w:type="dxa"/>
        <w:jc w:val="left"/>
        <w:tblInd w:w="0" w:type="dxa"/>
        <w:tblLayout w:type="fixed"/>
        <w:tblCellMar>
          <w:top w:w="0" w:type="dxa"/>
          <w:left w:w="0" w:type="dxa"/>
          <w:bottom w:w="0" w:type="dxa"/>
          <w:right w:w="0" w:type="dxa"/>
        </w:tblCellMar>
      </w:tblPr>
      <w:tblGrid>
        <w:gridCol w:w="4265"/>
        <w:gridCol w:w="60"/>
        <w:gridCol w:w="740"/>
        <w:gridCol w:w="60"/>
        <w:gridCol w:w="2825"/>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26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SWBI</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810" w:type="dxa"/>
        <w:jc w:val="left"/>
        <w:tblInd w:w="0" w:type="dxa"/>
        <w:tblLayout w:type="fixed"/>
        <w:tblCellMar>
          <w:top w:w="0" w:type="dxa"/>
          <w:left w:w="0" w:type="dxa"/>
          <w:bottom w:w="0" w:type="dxa"/>
          <w:right w:w="0" w:type="dxa"/>
        </w:tblCellMar>
      </w:tblPr>
      <w:tblGrid>
        <w:gridCol w:w="1025"/>
        <w:gridCol w:w="3785"/>
      </w:tblGrid>
      <w:tr>
        <w:trPr/>
        <w:tc>
          <w:tcPr>
            <w:tcW w:w="102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Agreement and Plan of Merger </w:t>
      </w:r>
    </w:p>
    <w:p>
      <w:pPr>
        <w:pStyle w:val="TextBody"/>
        <w:bidi w:val="0"/>
        <w:spacing w:before="120" w:after="0"/>
        <w:jc w:val="left"/>
        <w:rPr>
          <w:rFonts w:ascii="Times New Roman" w:hAnsi="Times New Roman"/>
          <w:sz w:val="20"/>
        </w:rPr>
      </w:pPr>
      <w:r>
        <w:rPr>
          <w:rFonts w:ascii="Times New Roman" w:hAnsi="Times New Roman"/>
          <w:sz w:val="20"/>
        </w:rPr>
        <w:t xml:space="preserve">On October 21, 2026 (the “Closing Date”), Smith &amp; Wesson Brands, Inc., a Nevada corporation (the “Company”), entered into an Agreement and Plan of Merger (the “Merger Agreement”) by and among the Company, Tristar Merger Sub, LLC, a Delaware limited liability company and wholly owned subsidiary of the Company (“Merger Sub”), Long Range Intermediate LLC, a Delaware limited liability company (“Savage”), and Savarms, L.P., a Texas limited partnership (“Seller”) and a wholly owned subsidiary of JDH Capital I, L.P. (“JDH”), and concurrently consummated the transactions contemplated thereby (the “Closing”). Pursuant to the Merger Agreement, (i) Merger Sub merged with and into Savage, with Savage surviving such merger as a wholly owned subsidiary of the Company, and (ii) immediately thereafter, and as part of an integrated plan, Savage merged with and into the Company, with the Company surviving such merger (the mergers described by the foregoing items (i) and (ii), collectively, the “Mergers”). The Mergers, taken together, are intended to qualify as a “reorganization” within the meaning of Section 368(a) of the Internal Revenue Code of 1986, as amended,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at the effective time of the Mergers, the Company issued to the Seller 8,993,968 shares of the Company’s common stock, par value $0.001 per share (the “Common Stock”), and paid to the Seller $42.4 million in cash (such shares and cash, together with any cash paid to the Seller in settlement of the post-closing adjustment, the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The aggregate consideration paid to the Seller was determined by reference to an adjusted transaction value of approximately $164.9 million, representing the base transaction value of $160.0 million as adjusted based on estimates of Savage’s cash, indebtedness, transaction expenses, minimum cash balance and net working capital delivered at the Closing. The number of shares of Common Stock issued to the Seller in connection with the Closing was equal to 19.99% of the shares of Common Stock outstanding immediately prior to the effective time of the first merger, rounded down to the nearest whole share, valued at a reference price of $13.62 per share, the volume weighted average price per share of Common Stock on the Nasdaq Global Select Market for the 45 consecutive trading days ending on (and including) the third trading day immediately prior to the Closing Date. The balance of the Merger Consideration payable to the Seller at the Closing was paid in cash. </w:t>
      </w:r>
    </w:p>
    <w:p>
      <w:pPr>
        <w:pStyle w:val="TextBody"/>
        <w:bidi w:val="0"/>
        <w:spacing w:before="240" w:after="0"/>
        <w:jc w:val="left"/>
        <w:rPr>
          <w:rFonts w:ascii="Times New Roman" w:hAnsi="Times New Roman"/>
          <w:sz w:val="20"/>
        </w:rPr>
      </w:pPr>
      <w:r>
        <w:rPr>
          <w:rFonts w:ascii="Times New Roman" w:hAnsi="Times New Roman"/>
          <w:sz w:val="20"/>
        </w:rPr>
        <w:t xml:space="preserve">The foregoing amounts are subject to a post-closing adjustment, to be settled in cash, as further described in the Merger Agreement. The Merger Agreement also contains customary representations, warranties and covenants of the parties, as well as customary indemnification provisions. Additionally, the Company obtained a customary representations and warranties insurance policy. The Seller has agreed to customary non-competition and non-solicitation covenants. The payment obligations of the Seller in respect of the post-closing adjustment and its indemnification obligations under the Merger Agreement are guaranteed by JDH pursuant to a guaranty delivered at the Closing.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Mergers and the Merger Agreement does not purport to be complete and is qualified in its entirety by reference to the Merger Agreement, a copy of which is filed as Exhibit 2.1 to this Current Report on Form 8-K and is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Investor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Closing, the Company and the Seller entered into an Investor Rights Agreement (the “Investor Rights Agreement”) which provides that, from the Closing Date until the earlier of (i) the first date on which the Seller’s beneficial ownership of the Company’s outstanding voting securities falls below 10%, and (ii) the termination of the standstill period (as defined in the Investor Rights Agreement) following the Seller’s permanent and irrevocable waiver of such right, together with the resignation of its designee, on or after the second anniversary of the Closing Date, the Seller shall have the right to designate one individual for nomination to the board of directors of the Company (the “Board”), subject to the director eligibility criteria and the other terms and conditions set forth therein. In addition, the Investor Rights Agreement provides for a customary lock-up, which expires in three equal installments on the dates that are 90, 240 and 360 days after the Closing Date, as well as customary standstill and transfer restrictions, in each case subject to the exceptions set forth therein. Further, during the standstill period and for so long as the Seller beneficially owns at least 10% of the Company’s outstanding voting securities, the Seller and its affiliates have also agreed to cause the shares they beneficially own to be voted in accordance with the recommendation of the Board with respect to the election of directors and other specific matters, subject to certain exceptions.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Further, the Investor Rights Agreement provides for customary registration rights with respect to the shares of Common Stock issued to the Seller as a portion of the Merger Consideration, subject to customary limitations, including with respect to minimum offering size and the maximum number of demands and underwritten shelf takedowns within specified periods. The Company has agreed to use its commercially reasonable efforts to file a resale shelf registration statement on Form S-3 covering those shares no later than 60 days following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Investor Rights Agreement does not purport to be complete and is qualified in its entirety by reference to the Investor Rights Agreement, a copy of which is filed as Exhibit 10.1 to this Current Report on Form 8-K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and Investor Rights Agreement have been filed to provide investors and securityholders with information regarding their terms and are not intended to provide any other factual information about the Company, Savage or the Seller. The representations, warranties and covenants contained in the Merger Agreement and Investor Rights Agreement were made solely for purposes of such agreement as of specific dates, may be subject to important qualifications and limitations agreed to by the parties in connection with negotiating their terms, including being qualified by confidential disclosures exchanged between the parties, and may be subject to a contractual standard of materiality different from what may be viewed as material to investors, or may have been used for the purpose of allocating risk among the parties rather than establishing matters as facts. Accordingly, no person should rely on the representations and warranties as statements of factual information. </w:t>
      </w:r>
    </w:p>
    <w:p>
      <w:pPr>
        <w:pStyle w:val="TextBody"/>
        <w:bidi w:val="0"/>
        <w:spacing w:before="0" w:after="0"/>
        <w:jc w:val="left"/>
        <w:rPr/>
      </w:pPr>
      <w:r>
        <w:rPr/>
        <w:t> </w:t>
      </w:r>
    </w:p>
    <w:tbl>
      <w:tblPr>
        <w:tblW w:w="5350" w:type="dxa"/>
        <w:jc w:val="left"/>
        <w:tblInd w:w="0" w:type="dxa"/>
        <w:tblLayout w:type="fixed"/>
        <w:tblCellMar>
          <w:top w:w="0" w:type="dxa"/>
          <w:left w:w="0" w:type="dxa"/>
          <w:bottom w:w="0" w:type="dxa"/>
          <w:right w:w="0" w:type="dxa"/>
        </w:tblCellMar>
      </w:tblPr>
      <w:tblGrid>
        <w:gridCol w:w="1025"/>
        <w:gridCol w:w="4325"/>
      </w:tblGrid>
      <w:tr>
        <w:trPr/>
        <w:tc>
          <w:tcPr>
            <w:tcW w:w="1025" w:type="dxa"/>
            <w:tcBorders/>
            <w:vAlign w:val="center"/>
          </w:tcPr>
          <w:p>
            <w:pPr>
              <w:pStyle w:val="TableContents"/>
              <w:bidi w:val="0"/>
              <w:spacing w:before="0" w:after="283"/>
              <w:jc w:val="left"/>
              <w:rPr>
                <w:b/>
              </w:rPr>
            </w:pPr>
            <w:r>
              <w:rPr>
                <w:b/>
              </w:rPr>
              <w:t>Item 2.01.</w:t>
            </w:r>
          </w:p>
        </w:tc>
        <w:tc>
          <w:tcPr>
            <w:tcW w:w="43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Completion of Acquisition or Disposition of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the Closing Date, the Company completed its acquisition of Savage pursuant to the Merger Agreement. The information contained in Item 1.01 of this Current Report on Form 8-K, including the descriptions of the Merger Agreement, the Merger Consideration and the Investor Rights Agreement, is incorporated by reference into this Item 2.01. </w:t>
      </w:r>
    </w:p>
    <w:p>
      <w:pPr>
        <w:pStyle w:val="TextBody"/>
        <w:bidi w:val="0"/>
        <w:spacing w:before="0" w:after="0"/>
        <w:jc w:val="left"/>
        <w:rPr/>
      </w:pPr>
      <w:r>
        <w:rPr/>
        <w:t> </w:t>
      </w:r>
    </w:p>
    <w:tbl>
      <w:tblPr>
        <w:tblW w:w="4420" w:type="dxa"/>
        <w:jc w:val="left"/>
        <w:tblInd w:w="0" w:type="dxa"/>
        <w:tblLayout w:type="fixed"/>
        <w:tblCellMar>
          <w:top w:w="0" w:type="dxa"/>
          <w:left w:w="0" w:type="dxa"/>
          <w:bottom w:w="0" w:type="dxa"/>
          <w:right w:w="0" w:type="dxa"/>
        </w:tblCellMar>
      </w:tblPr>
      <w:tblGrid>
        <w:gridCol w:w="1025"/>
        <w:gridCol w:w="3395"/>
      </w:tblGrid>
      <w:tr>
        <w:trPr/>
        <w:tc>
          <w:tcPr>
            <w:tcW w:w="1025" w:type="dxa"/>
            <w:tcBorders/>
            <w:vAlign w:val="center"/>
          </w:tcPr>
          <w:p>
            <w:pPr>
              <w:pStyle w:val="TableContents"/>
              <w:bidi w:val="0"/>
              <w:spacing w:before="0" w:after="283"/>
              <w:jc w:val="left"/>
              <w:rPr>
                <w:b/>
              </w:rPr>
            </w:pPr>
            <w:r>
              <w:rPr>
                <w:b/>
              </w:rPr>
              <w:t>Item 3.02.</w:t>
            </w:r>
          </w:p>
        </w:tc>
        <w:tc>
          <w:tcPr>
            <w:tcW w:w="33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Unregistered Sales of Equity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the Company issued to the Seller shares of Common Stock as a portion of the Merger Consideration. The information contained in Items 1.01 and 2.01 of this Current Report on Form 8-K is incorporated by reference into this Item 3.02. </w:t>
      </w:r>
    </w:p>
    <w:p>
      <w:pPr>
        <w:pStyle w:val="TextBody"/>
        <w:bidi w:val="0"/>
        <w:spacing w:before="240" w:after="0"/>
        <w:jc w:val="left"/>
        <w:rPr>
          <w:rFonts w:ascii="Times New Roman" w:hAnsi="Times New Roman"/>
          <w:sz w:val="20"/>
        </w:rPr>
      </w:pPr>
      <w:r>
        <w:rPr>
          <w:rFonts w:ascii="Times New Roman" w:hAnsi="Times New Roman"/>
          <w:sz w:val="20"/>
        </w:rPr>
        <w:t xml:space="preserve">Such shares of Common Stock were issued in reliance upon the exemption from registration provided by Section 4(a)(2) of the Securities Act of 1933, as amended (the “Securities Act”).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86"/>
        <w:gridCol w:w="9319"/>
      </w:tblGrid>
      <w:tr>
        <w:trPr/>
        <w:tc>
          <w:tcPr>
            <w:tcW w:w="886" w:type="dxa"/>
            <w:tcBorders/>
            <w:vAlign w:val="center"/>
          </w:tcPr>
          <w:p>
            <w:pPr>
              <w:pStyle w:val="TableContents"/>
              <w:bidi w:val="0"/>
              <w:spacing w:before="0" w:after="283"/>
              <w:jc w:val="left"/>
              <w:rPr>
                <w:b/>
              </w:rPr>
            </w:pPr>
            <w:r>
              <w:rPr>
                <w:b/>
              </w:rPr>
              <w:t>Item 5.02.</w:t>
            </w:r>
          </w:p>
        </w:tc>
        <w:tc>
          <w:tcPr>
            <w:tcW w:w="931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accordance with the Merger Agreement and the Investor Rights Agreement, effective immediately following the Closing, the Board appointed Michael D. Fertitta, the Seller’s designee, as a director, to serve until the next annual meeting of stockholders of the Company and until his successor is duly elected and qualified. Following Mr. Fertitta’s appointment, the Board consists of seven directors. The Board also appointed Mr. Fertitta to the Nominations and Corporate Governance Committee of the Board. The information set forth in Item 1.01 of this Current Report on Form 8-K regarding the Seller’s right to designate a director under the Investor Rights Agreement is incorporated by reference into this Item 5.02. </w:t>
      </w:r>
    </w:p>
    <w:p>
      <w:pPr>
        <w:pStyle w:val="TextBody"/>
        <w:bidi w:val="0"/>
        <w:spacing w:before="240" w:after="0"/>
        <w:jc w:val="left"/>
        <w:rPr>
          <w:rFonts w:ascii="Times New Roman" w:hAnsi="Times New Roman"/>
          <w:sz w:val="20"/>
        </w:rPr>
      </w:pPr>
      <w:r>
        <w:rPr>
          <w:rFonts w:ascii="Times New Roman" w:hAnsi="Times New Roman"/>
          <w:sz w:val="20"/>
        </w:rPr>
        <w:t xml:space="preserve">There are no family relationships between Mr. Fertitta and any director or executive officer of the Company, and there are no transactions in which Mr. Fertitta has an interest that would be required to be disclosed pursuant to Item 404(a) of Regulation S-K other than the Merger Agreement, the Investor Rights Agreement and the transactions described in this report.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Mr. Fertitta, age 50, is a Managing Director of JDH Capital Company, where he leads its real estate and royalty and minerals strategies and serves on its investment committee. Prior to joining JDH Capital Company, Mr. Fertitta served as Senior Vice President, General Counsel and Corporate Secretary of each of Hilcorp Energy Company and Harvest Midstream Company, and previously held positions at Och-Ziff Capital Management and in private law practice. </w:t>
      </w:r>
    </w:p>
    <w:p>
      <w:pPr>
        <w:pStyle w:val="TextBody"/>
        <w:bidi w:val="0"/>
        <w:spacing w:before="240" w:after="0"/>
        <w:jc w:val="left"/>
        <w:rPr>
          <w:rFonts w:ascii="Times New Roman" w:hAnsi="Times New Roman"/>
          <w:sz w:val="20"/>
        </w:rPr>
      </w:pPr>
      <w:r>
        <w:rPr>
          <w:rFonts w:ascii="Times New Roman" w:hAnsi="Times New Roman"/>
          <w:sz w:val="20"/>
        </w:rPr>
        <w:t xml:space="preserve">Mr. Fertitta will receive compensation for his service as a director on the same basis as the Company’s other non-employee directors. In connection with his appointment, Mr. Fertitta has entered into the Company’s standard form of indemnity agreement, a copy of which was filed as Exhibit 10.72 to the Company’s Annual Report on Form 10-K filed with the Securities and Exchange Commission (the “SEC”) on June 30, 2009. </w:t>
      </w:r>
    </w:p>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the Closing Date, the Company issued a press release announcing the execution of the Merger Agreement and the completion of the acquisition of Savage. The Company also prepared a slide presentation related to its acquisition of Savage. Copies of the press release and slide presentation are furnished as Exhibit 99.1 and Exhibit 99.2, respectively, to this Current Report on Form 8-K and are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of this Current Report on Form 8-K, including the information in the press release and slide presentation furnished as Exhibit 99.1 and Exhibit 99.2, respectively, to this Current Report on Form 8-K, is furnished pursuant to Item 7.01 of Form 8-K and shall not be deemed “filed” for purposes of Section 18 of the Securities Exchange Act of 1934, as amended (the “Exchange Act”), or otherwise subject to the liabilities of that section. Furthermore, the information in this Item 7.01 of this Current Report on Form 8-K, including the information in the press release and slide presentation furnished as Exhibit 99.1 and Exhibit 99.2, respectively, to this Current Report on Form 8-K, shall not be deemed to be incorporated by reference in the filings of the Company under the Securities Act or the Exchange Act.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Financial Statements of Business Acquired.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required by Item 9.01(a) of Form 8-K will be filed by amendment to this Current Report on Form 8-K no later than 71 days after the date this initial report on Form 8-K must be filed.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Pro Forma Financial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pro forma financial information required by Item 9.01(b) of Form 8-K will be filed by amendment to this Current Report on Form 8-K no later than 71 days after the date this initial report on Form 8-K must be filed.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Exhibits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95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w:t>
              <w:br/>
              <w:t>No.</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r>
              <w:rPr/>
              <w:t>2.1*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66089dex21.htm">
              <w:r>
                <w:rPr>
                  <w:rStyle w:val="InternetLink"/>
                </w:rPr>
                <w:t xml:space="preserve">Agreement and Plan of Merger, dated October 21, 2026, by and among Smith &amp; Wesson Brands, Inc., Tristar Merger Sub, LLC, Long Range Intermediate LLC and Savarms, L.P.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66089dex101.htm">
              <w:r>
                <w:rPr>
                  <w:rStyle w:val="InternetLink"/>
                </w:rPr>
                <w:t xml:space="preserve">Investor Rights Agreement, dated as of October 21, 2026, by and between Smith &amp; Wesson Brands, Inc. and Savarms, L.P.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66089dex991.htm">
              <w:r>
                <w:rPr>
                  <w:rStyle w:val="InternetLink"/>
                </w:rPr>
                <w:t xml:space="preserve">Press Release of Smith &amp; Wesson Brands, Inc., dated October 21,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66089dex992.htm">
              <w:r>
                <w:rPr>
                  <w:rStyle w:val="InternetLink"/>
                </w:rPr>
                <w:t xml:space="preserve">Slide Presentation of Smith &amp; Wesson Brands, Inc., dated October 21,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Schedules and exhibits have been omitted from this filing pursuant to Item 601(a)(5) and Item 601(b)(2) of Regulation S-K. The Company agrees to furnish supplementally a copy of any omitted schedule or exhibit to the SEC upon its request; provided, however, that the Company may request confidential treatment pursuant to Rule 24b-2 under the Exchange Act for any schedule or exhibit so furnished. </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66"/>
        <w:gridCol w:w="60"/>
        <w:gridCol w:w="23"/>
        <w:gridCol w:w="60"/>
        <w:gridCol w:w="650"/>
        <w:gridCol w:w="60"/>
        <w:gridCol w:w="7286"/>
      </w:tblGrid>
      <w:tr>
        <w:trPr/>
        <w:tc>
          <w:tcPr>
            <w:tcW w:w="20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86" w:type="dxa"/>
            <w:tcBorders/>
            <w:vAlign w:val="center"/>
          </w:tcPr>
          <w:p>
            <w:pPr>
              <w:pStyle w:val="TableContents"/>
              <w:bidi w:val="0"/>
              <w:spacing w:before="0" w:after="283"/>
              <w:jc w:val="left"/>
              <w:rPr>
                <w:sz w:val="4"/>
                <w:szCs w:val="4"/>
              </w:rPr>
            </w:pPr>
            <w:r>
              <w:rPr>
                <w:sz w:val="4"/>
                <w:szCs w:val="4"/>
              </w:rPr>
            </w:r>
          </w:p>
        </w:tc>
      </w:tr>
      <w:tr>
        <w:trPr/>
        <w:tc>
          <w:tcPr>
            <w:tcW w:w="20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96" w:type="dxa"/>
            <w:gridSpan w:val="3"/>
            <w:tcBorders/>
            <w:vAlign w:val="center"/>
          </w:tcPr>
          <w:p>
            <w:pPr>
              <w:pStyle w:val="TableContents"/>
              <w:bidi w:val="0"/>
              <w:spacing w:before="0" w:after="283"/>
              <w:jc w:val="left"/>
              <w:rPr/>
            </w:pPr>
            <w:r>
              <w:rPr/>
              <w:t>SMITH &amp; WESSON BRANDS, INC.</w:t>
            </w:r>
          </w:p>
        </w:tc>
      </w:tr>
      <w:tr>
        <w:trPr/>
        <w:tc>
          <w:tcPr>
            <w:tcW w:w="2066"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7346" w:type="dxa"/>
            <w:gridSpan w:val="2"/>
            <w:tcBorders/>
            <w:vAlign w:val="center"/>
          </w:tcPr>
          <w:p>
            <w:pPr>
              <w:pStyle w:val="TableContents"/>
              <w:bidi w:val="0"/>
              <w:spacing w:before="0" w:after="283"/>
              <w:jc w:val="left"/>
              <w:rPr>
                <w:sz w:val="4"/>
                <w:szCs w:val="4"/>
              </w:rPr>
            </w:pPr>
            <w:r>
              <w:rPr>
                <w:sz w:val="4"/>
                <w:szCs w:val="4"/>
              </w:rPr>
            </w:r>
          </w:p>
        </w:tc>
      </w:tr>
      <w:tr>
        <w:trPr/>
        <w:tc>
          <w:tcPr>
            <w:tcW w:w="2066" w:type="dxa"/>
            <w:tcBorders/>
            <w:vAlign w:val="center"/>
          </w:tcPr>
          <w:p>
            <w:pPr>
              <w:pStyle w:val="TableContents"/>
              <w:bidi w:val="0"/>
              <w:spacing w:before="0" w:after="283"/>
              <w:jc w:val="left"/>
              <w:rPr/>
            </w:pPr>
            <w:r>
              <w:rPr/>
              <w:t>Date: October 21,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7286" w:type="dxa"/>
            <w:tcBorders/>
            <w:vAlign w:val="center"/>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Deana L. McPherson</w:t>
            </w:r>
          </w:p>
        </w:tc>
      </w:tr>
      <w:tr>
        <w:trPr/>
        <w:tc>
          <w:tcPr>
            <w:tcW w:w="20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7286" w:type="dxa"/>
            <w:tcBorders/>
            <w:vAlign w:val="center"/>
          </w:tcPr>
          <w:p>
            <w:pPr>
              <w:pStyle w:val="TableContents"/>
              <w:bidi w:val="0"/>
              <w:spacing w:before="0" w:after="283"/>
              <w:jc w:val="left"/>
              <w:rPr/>
            </w:pPr>
            <w:r>
              <w:rPr/>
              <w:t>Deana L. McPherson</w:t>
            </w:r>
          </w:p>
        </w:tc>
      </w:tr>
      <w:tr>
        <w:trPr/>
        <w:tc>
          <w:tcPr>
            <w:tcW w:w="20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7286" w:type="dxa"/>
            <w:tcBorders/>
            <w:vAlign w:val="center"/>
          </w:tcPr>
          <w:p>
            <w:pPr>
              <w:pStyle w:val="TableContents"/>
              <w:bidi w:val="0"/>
              <w:spacing w:before="0" w:after="283"/>
              <w:jc w:val="left"/>
              <w:rPr/>
            </w:pPr>
            <w:r>
              <w:rPr/>
              <w:t>Executive Vice President, Chief Financial Officer, Treasurer, and Assistant Secretary</w:t>
            </w:r>
          </w:p>
        </w:tc>
      </w:tr>
    </w:tbl>
    <w:p>
      <w:pPr>
        <w:pStyle w:val="TextBody"/>
        <w:bidi w:val="0"/>
        <w:spacing w:before="0" w:after="0"/>
        <w:jc w:val="right"/>
        <w:rPr>
          <w:rFonts w:ascii="Times New Roman" w:hAnsi="Times New Roman"/>
          <w:b/>
          <w:sz w:val="20"/>
        </w:rPr>
      </w:pPr>
      <w:bookmarkStart w:id="2" w:name="d166089dex21.htm"/>
      <w:bookmarkStart w:id="3" w:name="ksd166089dex21"/>
      <w:bookmarkEnd w:id="2"/>
      <w:bookmarkEnd w:id="3"/>
      <w:r>
        <w:rPr>
          <w:rFonts w:ascii="Times New Roman" w:hAnsi="Times New Roman"/>
          <w:b/>
          <w:sz w:val="20"/>
        </w:rPr>
        <w:t xml:space="preserve">Exhibit 2.1 </w:t>
      </w:r>
      <w:r>
        <w:br w:type="page"/>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SMITH &amp; WESSON BRANDS, INC., </w:t>
      </w:r>
    </w:p>
    <w:p>
      <w:pPr>
        <w:pStyle w:val="TextBody"/>
        <w:bidi w:val="0"/>
        <w:spacing w:before="240" w:after="0"/>
        <w:jc w:val="center"/>
        <w:rPr>
          <w:rFonts w:ascii="Times New Roman" w:hAnsi="Times New Roman"/>
          <w:b/>
          <w:sz w:val="20"/>
        </w:rPr>
      </w:pPr>
      <w:r>
        <w:rPr>
          <w:rFonts w:ascii="Times New Roman" w:hAnsi="Times New Roman"/>
          <w:b/>
          <w:sz w:val="20"/>
        </w:rPr>
        <w:t xml:space="preserve">TRISTAR MERGER SUB, LLC, </w:t>
      </w:r>
    </w:p>
    <w:p>
      <w:pPr>
        <w:pStyle w:val="TextBody"/>
        <w:bidi w:val="0"/>
        <w:spacing w:before="240" w:after="0"/>
        <w:jc w:val="center"/>
        <w:rPr>
          <w:rFonts w:ascii="Times New Roman" w:hAnsi="Times New Roman"/>
          <w:b/>
          <w:sz w:val="20"/>
        </w:rPr>
      </w:pPr>
      <w:r>
        <w:rPr>
          <w:rFonts w:ascii="Times New Roman" w:hAnsi="Times New Roman"/>
          <w:b/>
          <w:sz w:val="20"/>
        </w:rPr>
        <w:t xml:space="preserve">LONG RANGE INTERMEDIATE LLC, and </w:t>
      </w:r>
    </w:p>
    <w:p>
      <w:pPr>
        <w:pStyle w:val="TextBody"/>
        <w:bidi w:val="0"/>
        <w:spacing w:before="240" w:after="0"/>
        <w:jc w:val="center"/>
        <w:rPr>
          <w:rFonts w:ascii="Times New Roman" w:hAnsi="Times New Roman"/>
          <w:b/>
          <w:sz w:val="20"/>
        </w:rPr>
      </w:pPr>
      <w:r>
        <w:rPr>
          <w:rFonts w:ascii="Times New Roman" w:hAnsi="Times New Roman"/>
          <w:b/>
          <w:sz w:val="20"/>
        </w:rPr>
        <w:t xml:space="preserve">SAVARMS, L.P.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October 21,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48"/>
        <w:gridCol w:w="87"/>
        <w:gridCol w:w="7949"/>
        <w:gridCol w:w="143"/>
        <w:gridCol w:w="96"/>
        <w:gridCol w:w="419"/>
        <w:gridCol w:w="63"/>
      </w:tblGrid>
      <w:tr>
        <w:trPr/>
        <w:tc>
          <w:tcPr>
            <w:tcW w:w="1448"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7949"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448"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794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484"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I. THE MERGER; CLOSING</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2</w:t>
            </w:r>
          </w:p>
        </w:tc>
        <w:tc>
          <w:tcPr>
            <w:tcW w:w="63" w:type="dxa"/>
            <w:tcBorders/>
            <w:vAlign w:val="bottom"/>
          </w:tcPr>
          <w:p>
            <w:pPr>
              <w:pStyle w:val="TableContents"/>
              <w:bidi w:val="0"/>
              <w:spacing w:before="0" w:after="283"/>
              <w:jc w:val="left"/>
              <w:rPr/>
            </w:pPr>
            <w:r>
              <w:rPr/>
              <w:t> </w:t>
            </w:r>
          </w:p>
        </w:tc>
      </w:tr>
      <w:tr>
        <w:trPr/>
        <w:tc>
          <w:tcPr>
            <w:tcW w:w="1448"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87" w:type="dxa"/>
            <w:tcBorders/>
            <w:vAlign w:val="bottom"/>
          </w:tcPr>
          <w:p>
            <w:pPr>
              <w:pStyle w:val="TableContents"/>
              <w:bidi w:val="0"/>
              <w:spacing w:before="0" w:after="283"/>
              <w:jc w:val="left"/>
              <w:rPr/>
            </w:pPr>
            <w:r>
              <w:rPr/>
              <w:t> </w:t>
            </w:r>
          </w:p>
        </w:tc>
        <w:tc>
          <w:tcPr>
            <w:tcW w:w="7949" w:type="dxa"/>
            <w:tcBorders/>
            <w:vAlign w:val="bottom"/>
          </w:tcPr>
          <w:p>
            <w:pPr>
              <w:pStyle w:val="TableContents"/>
              <w:bidi w:val="0"/>
              <w:spacing w:before="0" w:after="283"/>
              <w:jc w:val="left"/>
              <w:rPr/>
            </w:pPr>
            <w:r>
              <w:rPr/>
              <w:t>The Merger</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1448"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87" w:type="dxa"/>
            <w:tcBorders/>
            <w:vAlign w:val="bottom"/>
          </w:tcPr>
          <w:p>
            <w:pPr>
              <w:pStyle w:val="TableContents"/>
              <w:bidi w:val="0"/>
              <w:spacing w:before="0" w:after="283"/>
              <w:jc w:val="left"/>
              <w:rPr/>
            </w:pPr>
            <w:r>
              <w:rPr/>
              <w:t> </w:t>
            </w:r>
          </w:p>
        </w:tc>
        <w:tc>
          <w:tcPr>
            <w:tcW w:w="7949" w:type="dxa"/>
            <w:tcBorders/>
            <w:vAlign w:val="bottom"/>
          </w:tcPr>
          <w:p>
            <w:pPr>
              <w:pStyle w:val="TableContents"/>
              <w:bidi w:val="0"/>
              <w:spacing w:before="0" w:after="283"/>
              <w:jc w:val="left"/>
              <w:rPr/>
            </w:pPr>
            <w:r>
              <w:rPr/>
              <w:t>Closing</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1448"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87" w:type="dxa"/>
            <w:tcBorders/>
            <w:vAlign w:val="bottom"/>
          </w:tcPr>
          <w:p>
            <w:pPr>
              <w:pStyle w:val="TableContents"/>
              <w:bidi w:val="0"/>
              <w:spacing w:before="0" w:after="283"/>
              <w:jc w:val="left"/>
              <w:rPr/>
            </w:pPr>
            <w:r>
              <w:rPr/>
              <w:t> </w:t>
            </w:r>
          </w:p>
        </w:tc>
        <w:tc>
          <w:tcPr>
            <w:tcW w:w="7949" w:type="dxa"/>
            <w:tcBorders/>
            <w:vAlign w:val="bottom"/>
          </w:tcPr>
          <w:p>
            <w:pPr>
              <w:pStyle w:val="TableContents"/>
              <w:bidi w:val="0"/>
              <w:spacing w:before="0" w:after="283"/>
              <w:jc w:val="left"/>
              <w:rPr/>
            </w:pPr>
            <w:r>
              <w:rPr/>
              <w:t>Effective Time</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1448"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87" w:type="dxa"/>
            <w:tcBorders/>
            <w:vAlign w:val="bottom"/>
          </w:tcPr>
          <w:p>
            <w:pPr>
              <w:pStyle w:val="TableContents"/>
              <w:bidi w:val="0"/>
              <w:spacing w:before="0" w:after="283"/>
              <w:jc w:val="left"/>
              <w:rPr/>
            </w:pPr>
            <w:r>
              <w:rPr/>
              <w:t> </w:t>
            </w:r>
          </w:p>
        </w:tc>
        <w:tc>
          <w:tcPr>
            <w:tcW w:w="7949" w:type="dxa"/>
            <w:tcBorders/>
            <w:vAlign w:val="bottom"/>
          </w:tcPr>
          <w:p>
            <w:pPr>
              <w:pStyle w:val="TableContents"/>
              <w:bidi w:val="0"/>
              <w:spacing w:before="0" w:after="283"/>
              <w:jc w:val="left"/>
              <w:rPr/>
            </w:pPr>
            <w:r>
              <w:rPr/>
              <w:t>Organizational Documents of the Surviving Entities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1448"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87" w:type="dxa"/>
            <w:tcBorders/>
            <w:vAlign w:val="bottom"/>
          </w:tcPr>
          <w:p>
            <w:pPr>
              <w:pStyle w:val="TableContents"/>
              <w:bidi w:val="0"/>
              <w:spacing w:before="0" w:after="283"/>
              <w:jc w:val="left"/>
              <w:rPr/>
            </w:pPr>
            <w:r>
              <w:rPr/>
              <w:t> </w:t>
            </w:r>
          </w:p>
        </w:tc>
        <w:tc>
          <w:tcPr>
            <w:tcW w:w="7949" w:type="dxa"/>
            <w:tcBorders/>
            <w:vAlign w:val="bottom"/>
          </w:tcPr>
          <w:p>
            <w:pPr>
              <w:pStyle w:val="TableContents"/>
              <w:bidi w:val="0"/>
              <w:spacing w:before="0" w:after="283"/>
              <w:jc w:val="left"/>
              <w:rPr/>
            </w:pPr>
            <w:r>
              <w:rPr/>
              <w:t>Managers, Directors and Officers of the Surviving Company</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120" w:hRule="atLeast"/>
        </w:trPr>
        <w:tc>
          <w:tcPr>
            <w:tcW w:w="9484" w:type="dxa"/>
            <w:gridSpan w:val="3"/>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9484"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II. CONVERSION OF MEMBERSHIP INTERESTS; EXCHANGE OF CERTIFICATES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3</w:t>
            </w:r>
          </w:p>
        </w:tc>
        <w:tc>
          <w:tcPr>
            <w:tcW w:w="63" w:type="dxa"/>
            <w:tcBorders/>
            <w:vAlign w:val="bottom"/>
          </w:tcPr>
          <w:p>
            <w:pPr>
              <w:pStyle w:val="TableContents"/>
              <w:bidi w:val="0"/>
              <w:spacing w:before="0" w:after="283"/>
              <w:jc w:val="left"/>
              <w:rPr/>
            </w:pPr>
            <w:r>
              <w:rPr/>
              <w:t> </w:t>
            </w:r>
          </w:p>
        </w:tc>
      </w:tr>
      <w:tr>
        <w:trPr/>
        <w:tc>
          <w:tcPr>
            <w:tcW w:w="1448"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87" w:type="dxa"/>
            <w:tcBorders/>
            <w:vAlign w:val="bottom"/>
          </w:tcPr>
          <w:p>
            <w:pPr>
              <w:pStyle w:val="TableContents"/>
              <w:bidi w:val="0"/>
              <w:spacing w:before="0" w:after="283"/>
              <w:jc w:val="left"/>
              <w:rPr/>
            </w:pPr>
            <w:r>
              <w:rPr/>
              <w:t> </w:t>
            </w:r>
          </w:p>
        </w:tc>
        <w:tc>
          <w:tcPr>
            <w:tcW w:w="7949" w:type="dxa"/>
            <w:tcBorders/>
            <w:vAlign w:val="bottom"/>
          </w:tcPr>
          <w:p>
            <w:pPr>
              <w:pStyle w:val="TableContents"/>
              <w:bidi w:val="0"/>
              <w:spacing w:before="0" w:after="283"/>
              <w:jc w:val="left"/>
              <w:rPr/>
            </w:pPr>
            <w:r>
              <w:rPr/>
              <w:t>Effect on Interests and Units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1448"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87" w:type="dxa"/>
            <w:tcBorders/>
            <w:vAlign w:val="bottom"/>
          </w:tcPr>
          <w:p>
            <w:pPr>
              <w:pStyle w:val="TableContents"/>
              <w:bidi w:val="0"/>
              <w:spacing w:before="0" w:after="283"/>
              <w:jc w:val="left"/>
              <w:rPr/>
            </w:pPr>
            <w:r>
              <w:rPr/>
              <w:t> </w:t>
            </w:r>
          </w:p>
        </w:tc>
        <w:tc>
          <w:tcPr>
            <w:tcW w:w="7949" w:type="dxa"/>
            <w:tcBorders/>
            <w:vAlign w:val="bottom"/>
          </w:tcPr>
          <w:p>
            <w:pPr>
              <w:pStyle w:val="TableContents"/>
              <w:bidi w:val="0"/>
              <w:spacing w:before="0" w:after="283"/>
              <w:jc w:val="left"/>
              <w:rPr/>
            </w:pPr>
            <w:r>
              <w:rPr/>
              <w:t>Transfer Agent</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1448"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87" w:type="dxa"/>
            <w:tcBorders/>
            <w:vAlign w:val="bottom"/>
          </w:tcPr>
          <w:p>
            <w:pPr>
              <w:pStyle w:val="TableContents"/>
              <w:bidi w:val="0"/>
              <w:spacing w:before="0" w:after="283"/>
              <w:jc w:val="left"/>
              <w:rPr/>
            </w:pPr>
            <w:r>
              <w:rPr/>
              <w:t> </w:t>
            </w:r>
          </w:p>
        </w:tc>
        <w:tc>
          <w:tcPr>
            <w:tcW w:w="7949" w:type="dxa"/>
            <w:tcBorders/>
            <w:vAlign w:val="bottom"/>
          </w:tcPr>
          <w:p>
            <w:pPr>
              <w:pStyle w:val="TableContents"/>
              <w:bidi w:val="0"/>
              <w:spacing w:before="0" w:after="283"/>
              <w:jc w:val="left"/>
              <w:rPr/>
            </w:pPr>
            <w:r>
              <w:rPr/>
              <w:t>Distribution of Initial Merger Consideration</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1448"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87" w:type="dxa"/>
            <w:tcBorders/>
            <w:vAlign w:val="bottom"/>
          </w:tcPr>
          <w:p>
            <w:pPr>
              <w:pStyle w:val="TableContents"/>
              <w:bidi w:val="0"/>
              <w:spacing w:before="0" w:after="283"/>
              <w:jc w:val="left"/>
              <w:rPr/>
            </w:pPr>
            <w:r>
              <w:rPr/>
              <w:t> </w:t>
            </w:r>
          </w:p>
        </w:tc>
        <w:tc>
          <w:tcPr>
            <w:tcW w:w="7949" w:type="dxa"/>
            <w:tcBorders/>
            <w:vAlign w:val="bottom"/>
          </w:tcPr>
          <w:p>
            <w:pPr>
              <w:pStyle w:val="TableContents"/>
              <w:bidi w:val="0"/>
              <w:spacing w:before="0" w:after="283"/>
              <w:jc w:val="left"/>
              <w:rPr/>
            </w:pPr>
            <w:r>
              <w:rPr/>
              <w:t>Withholding Rights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1448"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87" w:type="dxa"/>
            <w:tcBorders/>
            <w:vAlign w:val="bottom"/>
          </w:tcPr>
          <w:p>
            <w:pPr>
              <w:pStyle w:val="TableContents"/>
              <w:bidi w:val="0"/>
              <w:spacing w:before="0" w:after="283"/>
              <w:jc w:val="left"/>
              <w:rPr/>
            </w:pPr>
            <w:r>
              <w:rPr/>
              <w:t> </w:t>
            </w:r>
          </w:p>
        </w:tc>
        <w:tc>
          <w:tcPr>
            <w:tcW w:w="7949" w:type="dxa"/>
            <w:tcBorders/>
            <w:vAlign w:val="bottom"/>
          </w:tcPr>
          <w:p>
            <w:pPr>
              <w:pStyle w:val="TableContents"/>
              <w:bidi w:val="0"/>
              <w:spacing w:before="0" w:after="283"/>
              <w:jc w:val="left"/>
              <w:rPr/>
            </w:pPr>
            <w:r>
              <w:rPr/>
              <w:t>Post-Closing Adjustment</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1448"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87" w:type="dxa"/>
            <w:tcBorders/>
            <w:vAlign w:val="bottom"/>
          </w:tcPr>
          <w:p>
            <w:pPr>
              <w:pStyle w:val="TableContents"/>
              <w:bidi w:val="0"/>
              <w:spacing w:before="0" w:after="283"/>
              <w:jc w:val="left"/>
              <w:rPr/>
            </w:pPr>
            <w:r>
              <w:rPr/>
              <w:t> </w:t>
            </w:r>
          </w:p>
        </w:tc>
        <w:tc>
          <w:tcPr>
            <w:tcW w:w="7949" w:type="dxa"/>
            <w:tcBorders/>
            <w:vAlign w:val="bottom"/>
          </w:tcPr>
          <w:p>
            <w:pPr>
              <w:pStyle w:val="TableContents"/>
              <w:bidi w:val="0"/>
              <w:spacing w:before="0" w:after="283"/>
              <w:jc w:val="left"/>
              <w:rPr/>
            </w:pPr>
            <w:r>
              <w:rPr/>
              <w:t>No Fractional Shares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1448"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87" w:type="dxa"/>
            <w:tcBorders/>
            <w:vAlign w:val="bottom"/>
          </w:tcPr>
          <w:p>
            <w:pPr>
              <w:pStyle w:val="TableContents"/>
              <w:bidi w:val="0"/>
              <w:spacing w:before="0" w:after="283"/>
              <w:jc w:val="left"/>
              <w:rPr/>
            </w:pPr>
            <w:r>
              <w:rPr/>
              <w:t> </w:t>
            </w:r>
          </w:p>
        </w:tc>
        <w:tc>
          <w:tcPr>
            <w:tcW w:w="7949" w:type="dxa"/>
            <w:tcBorders/>
            <w:vAlign w:val="bottom"/>
          </w:tcPr>
          <w:p>
            <w:pPr>
              <w:pStyle w:val="TableContents"/>
              <w:bidi w:val="0"/>
              <w:spacing w:before="0" w:after="283"/>
              <w:jc w:val="left"/>
              <w:rPr/>
            </w:pPr>
            <w:r>
              <w:rPr/>
              <w:t>Nasdaq Share Cap</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rHeight w:val="120" w:hRule="atLeast"/>
        </w:trPr>
        <w:tc>
          <w:tcPr>
            <w:tcW w:w="9484" w:type="dxa"/>
            <w:gridSpan w:val="3"/>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9484"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III. REPRESENTATIONS AND WARRANTIES OF PARENT</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7</w:t>
            </w:r>
          </w:p>
        </w:tc>
        <w:tc>
          <w:tcPr>
            <w:tcW w:w="63" w:type="dxa"/>
            <w:tcBorders/>
            <w:vAlign w:val="bottom"/>
          </w:tcPr>
          <w:p>
            <w:pPr>
              <w:pStyle w:val="TableContents"/>
              <w:bidi w:val="0"/>
              <w:spacing w:before="0" w:after="283"/>
              <w:jc w:val="left"/>
              <w:rPr/>
            </w:pPr>
            <w:r>
              <w:rPr/>
              <w:t> </w:t>
            </w:r>
          </w:p>
        </w:tc>
      </w:tr>
      <w:tr>
        <w:trPr/>
        <w:tc>
          <w:tcPr>
            <w:tcW w:w="1448"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87" w:type="dxa"/>
            <w:tcBorders/>
            <w:vAlign w:val="bottom"/>
          </w:tcPr>
          <w:p>
            <w:pPr>
              <w:pStyle w:val="TableContents"/>
              <w:bidi w:val="0"/>
              <w:spacing w:before="0" w:after="283"/>
              <w:jc w:val="left"/>
              <w:rPr/>
            </w:pPr>
            <w:r>
              <w:rPr/>
              <w:t> </w:t>
            </w:r>
          </w:p>
        </w:tc>
        <w:tc>
          <w:tcPr>
            <w:tcW w:w="7949" w:type="dxa"/>
            <w:tcBorders/>
            <w:vAlign w:val="bottom"/>
          </w:tcPr>
          <w:p>
            <w:pPr>
              <w:pStyle w:val="TableContents"/>
              <w:bidi w:val="0"/>
              <w:spacing w:before="0" w:after="283"/>
              <w:jc w:val="left"/>
              <w:rPr/>
            </w:pPr>
            <w:r>
              <w:rPr/>
              <w:t>Organization; Standing and Power</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1448"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87" w:type="dxa"/>
            <w:tcBorders/>
            <w:vAlign w:val="bottom"/>
          </w:tcPr>
          <w:p>
            <w:pPr>
              <w:pStyle w:val="TableContents"/>
              <w:bidi w:val="0"/>
              <w:spacing w:before="0" w:after="283"/>
              <w:jc w:val="left"/>
              <w:rPr/>
            </w:pPr>
            <w:r>
              <w:rPr/>
              <w:t> </w:t>
            </w:r>
          </w:p>
        </w:tc>
        <w:tc>
          <w:tcPr>
            <w:tcW w:w="7949" w:type="dxa"/>
            <w:tcBorders/>
            <w:vAlign w:val="bottom"/>
          </w:tcPr>
          <w:p>
            <w:pPr>
              <w:pStyle w:val="TableContents"/>
              <w:bidi w:val="0"/>
              <w:spacing w:before="0" w:after="283"/>
              <w:jc w:val="left"/>
              <w:rPr/>
            </w:pPr>
            <w:r>
              <w:rPr/>
              <w:t>Authority; Execution and Delivery; Enforceability</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1448"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87" w:type="dxa"/>
            <w:tcBorders/>
            <w:vAlign w:val="bottom"/>
          </w:tcPr>
          <w:p>
            <w:pPr>
              <w:pStyle w:val="TableContents"/>
              <w:bidi w:val="0"/>
              <w:spacing w:before="0" w:after="283"/>
              <w:jc w:val="left"/>
              <w:rPr/>
            </w:pPr>
            <w:r>
              <w:rPr/>
              <w:t> </w:t>
            </w:r>
          </w:p>
        </w:tc>
        <w:tc>
          <w:tcPr>
            <w:tcW w:w="7949" w:type="dxa"/>
            <w:tcBorders/>
            <w:vAlign w:val="bottom"/>
          </w:tcPr>
          <w:p>
            <w:pPr>
              <w:pStyle w:val="TableContents"/>
              <w:bidi w:val="0"/>
              <w:spacing w:before="0" w:after="283"/>
              <w:jc w:val="left"/>
              <w:rPr/>
            </w:pPr>
            <w:r>
              <w:rPr/>
              <w:t>No Conflicts; Governmental Approvals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1448"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87" w:type="dxa"/>
            <w:tcBorders/>
            <w:vAlign w:val="bottom"/>
          </w:tcPr>
          <w:p>
            <w:pPr>
              <w:pStyle w:val="TableContents"/>
              <w:bidi w:val="0"/>
              <w:spacing w:before="0" w:after="283"/>
              <w:jc w:val="left"/>
              <w:rPr/>
            </w:pPr>
            <w:r>
              <w:rPr/>
              <w:t> </w:t>
            </w:r>
          </w:p>
        </w:tc>
        <w:tc>
          <w:tcPr>
            <w:tcW w:w="7949" w:type="dxa"/>
            <w:tcBorders/>
            <w:vAlign w:val="bottom"/>
          </w:tcPr>
          <w:p>
            <w:pPr>
              <w:pStyle w:val="TableContents"/>
              <w:bidi w:val="0"/>
              <w:spacing w:before="0" w:after="283"/>
              <w:jc w:val="left"/>
              <w:rPr/>
            </w:pPr>
            <w:r>
              <w:rPr/>
              <w:t>Certain Arrangements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1448"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87" w:type="dxa"/>
            <w:tcBorders/>
            <w:vAlign w:val="bottom"/>
          </w:tcPr>
          <w:p>
            <w:pPr>
              <w:pStyle w:val="TableContents"/>
              <w:bidi w:val="0"/>
              <w:spacing w:before="0" w:after="283"/>
              <w:jc w:val="left"/>
              <w:rPr/>
            </w:pPr>
            <w:r>
              <w:rPr/>
              <w:t> </w:t>
            </w:r>
          </w:p>
        </w:tc>
        <w:tc>
          <w:tcPr>
            <w:tcW w:w="7949" w:type="dxa"/>
            <w:tcBorders/>
            <w:vAlign w:val="bottom"/>
          </w:tcPr>
          <w:p>
            <w:pPr>
              <w:pStyle w:val="TableContents"/>
              <w:bidi w:val="0"/>
              <w:spacing w:before="0" w:after="283"/>
              <w:jc w:val="left"/>
              <w:rPr/>
            </w:pPr>
            <w:r>
              <w:rPr/>
              <w:t>Brokers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1448"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87" w:type="dxa"/>
            <w:tcBorders/>
            <w:vAlign w:val="bottom"/>
          </w:tcPr>
          <w:p>
            <w:pPr>
              <w:pStyle w:val="TableContents"/>
              <w:bidi w:val="0"/>
              <w:spacing w:before="0" w:after="283"/>
              <w:jc w:val="left"/>
              <w:rPr/>
            </w:pPr>
            <w:r>
              <w:rPr/>
              <w:t> </w:t>
            </w:r>
          </w:p>
        </w:tc>
        <w:tc>
          <w:tcPr>
            <w:tcW w:w="7949" w:type="dxa"/>
            <w:tcBorders/>
            <w:vAlign w:val="bottom"/>
          </w:tcPr>
          <w:p>
            <w:pPr>
              <w:pStyle w:val="TableContents"/>
              <w:bidi w:val="0"/>
              <w:spacing w:before="0" w:after="283"/>
              <w:jc w:val="left"/>
              <w:rPr/>
            </w:pPr>
            <w:r>
              <w:rPr/>
              <w:t>SEC Documents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1448" w:type="dxa"/>
            <w:tcBorders/>
          </w:tcPr>
          <w:p>
            <w:pPr>
              <w:pStyle w:val="TableContents"/>
              <w:bidi w:val="0"/>
              <w:spacing w:before="0" w:after="0"/>
              <w:jc w:val="left"/>
              <w:rPr>
                <w:rFonts w:ascii="Times New Roman" w:hAnsi="Times New Roman"/>
                <w:sz w:val="20"/>
              </w:rPr>
            </w:pPr>
            <w:r>
              <w:rPr>
                <w:rFonts w:ascii="Times New Roman" w:hAnsi="Times New Roman"/>
                <w:sz w:val="20"/>
              </w:rPr>
              <w:t>Section 3.07.</w:t>
            </w:r>
          </w:p>
        </w:tc>
        <w:tc>
          <w:tcPr>
            <w:tcW w:w="87" w:type="dxa"/>
            <w:tcBorders/>
            <w:vAlign w:val="bottom"/>
          </w:tcPr>
          <w:p>
            <w:pPr>
              <w:pStyle w:val="TableContents"/>
              <w:bidi w:val="0"/>
              <w:spacing w:before="0" w:after="283"/>
              <w:jc w:val="left"/>
              <w:rPr/>
            </w:pPr>
            <w:r>
              <w:rPr/>
              <w:t> </w:t>
            </w:r>
          </w:p>
        </w:tc>
        <w:tc>
          <w:tcPr>
            <w:tcW w:w="7949" w:type="dxa"/>
            <w:tcBorders/>
            <w:vAlign w:val="bottom"/>
          </w:tcPr>
          <w:p>
            <w:pPr>
              <w:pStyle w:val="TableContents"/>
              <w:bidi w:val="0"/>
              <w:spacing w:before="0" w:after="283"/>
              <w:jc w:val="left"/>
              <w:rPr/>
            </w:pPr>
            <w:r>
              <w:rPr/>
              <w:t>Listing</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448" w:type="dxa"/>
            <w:tcBorders/>
          </w:tcPr>
          <w:p>
            <w:pPr>
              <w:pStyle w:val="TableContents"/>
              <w:bidi w:val="0"/>
              <w:spacing w:before="0" w:after="0"/>
              <w:jc w:val="left"/>
              <w:rPr>
                <w:rFonts w:ascii="Times New Roman" w:hAnsi="Times New Roman"/>
                <w:sz w:val="20"/>
              </w:rPr>
            </w:pPr>
            <w:r>
              <w:rPr>
                <w:rFonts w:ascii="Times New Roman" w:hAnsi="Times New Roman"/>
                <w:sz w:val="20"/>
              </w:rPr>
              <w:t>Section 3.08.</w:t>
            </w:r>
          </w:p>
        </w:tc>
        <w:tc>
          <w:tcPr>
            <w:tcW w:w="87" w:type="dxa"/>
            <w:tcBorders/>
            <w:vAlign w:val="bottom"/>
          </w:tcPr>
          <w:p>
            <w:pPr>
              <w:pStyle w:val="TableContents"/>
              <w:bidi w:val="0"/>
              <w:spacing w:before="0" w:after="283"/>
              <w:jc w:val="left"/>
              <w:rPr/>
            </w:pPr>
            <w:r>
              <w:rPr/>
              <w:t> </w:t>
            </w:r>
          </w:p>
        </w:tc>
        <w:tc>
          <w:tcPr>
            <w:tcW w:w="7949" w:type="dxa"/>
            <w:tcBorders/>
            <w:vAlign w:val="bottom"/>
          </w:tcPr>
          <w:p>
            <w:pPr>
              <w:pStyle w:val="TableContents"/>
              <w:bidi w:val="0"/>
              <w:spacing w:before="0" w:after="283"/>
              <w:jc w:val="left"/>
              <w:rPr/>
            </w:pPr>
            <w:r>
              <w:rPr/>
              <w:t>Valid Issuance</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448" w:type="dxa"/>
            <w:tcBorders/>
          </w:tcPr>
          <w:p>
            <w:pPr>
              <w:pStyle w:val="TableContents"/>
              <w:bidi w:val="0"/>
              <w:spacing w:before="0" w:after="0"/>
              <w:jc w:val="left"/>
              <w:rPr>
                <w:rFonts w:ascii="Times New Roman" w:hAnsi="Times New Roman"/>
                <w:sz w:val="20"/>
              </w:rPr>
            </w:pPr>
            <w:r>
              <w:rPr>
                <w:rFonts w:ascii="Times New Roman" w:hAnsi="Times New Roman"/>
                <w:sz w:val="20"/>
              </w:rPr>
              <w:t>Section 3.09.</w:t>
            </w:r>
          </w:p>
        </w:tc>
        <w:tc>
          <w:tcPr>
            <w:tcW w:w="87" w:type="dxa"/>
            <w:tcBorders/>
            <w:vAlign w:val="bottom"/>
          </w:tcPr>
          <w:p>
            <w:pPr>
              <w:pStyle w:val="TableContents"/>
              <w:bidi w:val="0"/>
              <w:spacing w:before="0" w:after="283"/>
              <w:jc w:val="left"/>
              <w:rPr/>
            </w:pPr>
            <w:r>
              <w:rPr/>
              <w:t> </w:t>
            </w:r>
          </w:p>
        </w:tc>
        <w:tc>
          <w:tcPr>
            <w:tcW w:w="7949" w:type="dxa"/>
            <w:tcBorders/>
            <w:vAlign w:val="bottom"/>
          </w:tcPr>
          <w:p>
            <w:pPr>
              <w:pStyle w:val="TableContents"/>
              <w:bidi w:val="0"/>
              <w:spacing w:before="0" w:after="283"/>
              <w:jc w:val="left"/>
              <w:rPr/>
            </w:pPr>
            <w:r>
              <w:rPr/>
              <w:t>Vote Required</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448" w:type="dxa"/>
            <w:tcBorders/>
          </w:tcPr>
          <w:p>
            <w:pPr>
              <w:pStyle w:val="TableContents"/>
              <w:bidi w:val="0"/>
              <w:spacing w:before="0" w:after="0"/>
              <w:jc w:val="left"/>
              <w:rPr>
                <w:rFonts w:ascii="Times New Roman" w:hAnsi="Times New Roman"/>
                <w:sz w:val="20"/>
              </w:rPr>
            </w:pPr>
            <w:r>
              <w:rPr>
                <w:rFonts w:ascii="Times New Roman" w:hAnsi="Times New Roman"/>
                <w:sz w:val="20"/>
              </w:rPr>
              <w:t>Section 3.10.</w:t>
            </w:r>
          </w:p>
        </w:tc>
        <w:tc>
          <w:tcPr>
            <w:tcW w:w="87" w:type="dxa"/>
            <w:tcBorders/>
            <w:vAlign w:val="bottom"/>
          </w:tcPr>
          <w:p>
            <w:pPr>
              <w:pStyle w:val="TableContents"/>
              <w:bidi w:val="0"/>
              <w:spacing w:before="0" w:after="283"/>
              <w:jc w:val="left"/>
              <w:rPr/>
            </w:pPr>
            <w:r>
              <w:rPr/>
              <w:t> </w:t>
            </w:r>
          </w:p>
        </w:tc>
        <w:tc>
          <w:tcPr>
            <w:tcW w:w="7949" w:type="dxa"/>
            <w:tcBorders/>
            <w:vAlign w:val="bottom"/>
          </w:tcPr>
          <w:p>
            <w:pPr>
              <w:pStyle w:val="TableContents"/>
              <w:bidi w:val="0"/>
              <w:spacing w:before="0" w:after="283"/>
              <w:jc w:val="left"/>
              <w:rPr/>
            </w:pPr>
            <w:r>
              <w:rPr/>
              <w:t>Absence of Certain Changes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448" w:type="dxa"/>
            <w:tcBorders/>
          </w:tcPr>
          <w:p>
            <w:pPr>
              <w:pStyle w:val="TableContents"/>
              <w:bidi w:val="0"/>
              <w:spacing w:before="0" w:after="0"/>
              <w:jc w:val="left"/>
              <w:rPr>
                <w:rFonts w:ascii="Times New Roman" w:hAnsi="Times New Roman"/>
                <w:sz w:val="20"/>
              </w:rPr>
            </w:pPr>
            <w:r>
              <w:rPr>
                <w:rFonts w:ascii="Times New Roman" w:hAnsi="Times New Roman"/>
                <w:sz w:val="20"/>
              </w:rPr>
              <w:t>Section 3.11.</w:t>
            </w:r>
          </w:p>
        </w:tc>
        <w:tc>
          <w:tcPr>
            <w:tcW w:w="87" w:type="dxa"/>
            <w:tcBorders/>
            <w:vAlign w:val="bottom"/>
          </w:tcPr>
          <w:p>
            <w:pPr>
              <w:pStyle w:val="TableContents"/>
              <w:bidi w:val="0"/>
              <w:spacing w:before="0" w:after="283"/>
              <w:jc w:val="left"/>
              <w:rPr/>
            </w:pPr>
            <w:r>
              <w:rPr/>
              <w:t> </w:t>
            </w:r>
          </w:p>
        </w:tc>
        <w:tc>
          <w:tcPr>
            <w:tcW w:w="7949" w:type="dxa"/>
            <w:tcBorders/>
            <w:vAlign w:val="bottom"/>
          </w:tcPr>
          <w:p>
            <w:pPr>
              <w:pStyle w:val="TableContents"/>
              <w:bidi w:val="0"/>
              <w:spacing w:before="0" w:after="283"/>
              <w:jc w:val="left"/>
              <w:rPr/>
            </w:pPr>
            <w:r>
              <w:rPr/>
              <w:t>Independent Investigation</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9484" w:type="dxa"/>
            <w:gridSpan w:val="3"/>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9484"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IV. REPRESENTATIONS AND WARRANTIES OF THE COMPANY</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11</w:t>
            </w:r>
          </w:p>
        </w:tc>
        <w:tc>
          <w:tcPr>
            <w:tcW w:w="63" w:type="dxa"/>
            <w:tcBorders/>
            <w:vAlign w:val="bottom"/>
          </w:tcPr>
          <w:p>
            <w:pPr>
              <w:pStyle w:val="TableContents"/>
              <w:bidi w:val="0"/>
              <w:spacing w:before="0" w:after="283"/>
              <w:jc w:val="left"/>
              <w:rPr/>
            </w:pPr>
            <w:r>
              <w:rPr/>
              <w:t> </w:t>
            </w:r>
          </w:p>
        </w:tc>
      </w:tr>
      <w:tr>
        <w:trPr/>
        <w:tc>
          <w:tcPr>
            <w:tcW w:w="1448"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87" w:type="dxa"/>
            <w:tcBorders/>
            <w:vAlign w:val="bottom"/>
          </w:tcPr>
          <w:p>
            <w:pPr>
              <w:pStyle w:val="TableContents"/>
              <w:bidi w:val="0"/>
              <w:spacing w:before="0" w:after="283"/>
              <w:jc w:val="left"/>
              <w:rPr/>
            </w:pPr>
            <w:r>
              <w:rPr/>
              <w:t> </w:t>
            </w:r>
          </w:p>
        </w:tc>
        <w:tc>
          <w:tcPr>
            <w:tcW w:w="7949" w:type="dxa"/>
            <w:tcBorders/>
            <w:vAlign w:val="bottom"/>
          </w:tcPr>
          <w:p>
            <w:pPr>
              <w:pStyle w:val="TableContents"/>
              <w:bidi w:val="0"/>
              <w:spacing w:before="0" w:after="283"/>
              <w:jc w:val="left"/>
              <w:rPr/>
            </w:pPr>
            <w:r>
              <w:rPr/>
              <w:t>Organization, Standing and Power</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1448"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87" w:type="dxa"/>
            <w:tcBorders/>
            <w:vAlign w:val="bottom"/>
          </w:tcPr>
          <w:p>
            <w:pPr>
              <w:pStyle w:val="TableContents"/>
              <w:bidi w:val="0"/>
              <w:spacing w:before="0" w:after="283"/>
              <w:jc w:val="left"/>
              <w:rPr/>
            </w:pPr>
            <w:r>
              <w:rPr/>
              <w:t> </w:t>
            </w:r>
          </w:p>
        </w:tc>
        <w:tc>
          <w:tcPr>
            <w:tcW w:w="7949" w:type="dxa"/>
            <w:tcBorders/>
            <w:vAlign w:val="bottom"/>
          </w:tcPr>
          <w:p>
            <w:pPr>
              <w:pStyle w:val="TableContents"/>
              <w:bidi w:val="0"/>
              <w:spacing w:before="0" w:after="283"/>
              <w:jc w:val="left"/>
              <w:rPr/>
            </w:pPr>
            <w:r>
              <w:rPr/>
              <w:t>Capitalization; Subsidiaries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1448" w:type="dxa"/>
            <w:tcBorders/>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87" w:type="dxa"/>
            <w:tcBorders/>
            <w:vAlign w:val="bottom"/>
          </w:tcPr>
          <w:p>
            <w:pPr>
              <w:pStyle w:val="TableContents"/>
              <w:bidi w:val="0"/>
              <w:spacing w:before="0" w:after="283"/>
              <w:jc w:val="left"/>
              <w:rPr/>
            </w:pPr>
            <w:r>
              <w:rPr/>
              <w:t> </w:t>
            </w:r>
          </w:p>
        </w:tc>
        <w:tc>
          <w:tcPr>
            <w:tcW w:w="7949" w:type="dxa"/>
            <w:tcBorders/>
            <w:vAlign w:val="bottom"/>
          </w:tcPr>
          <w:p>
            <w:pPr>
              <w:pStyle w:val="TableContents"/>
              <w:bidi w:val="0"/>
              <w:spacing w:before="0" w:after="283"/>
              <w:jc w:val="left"/>
              <w:rPr/>
            </w:pPr>
            <w:r>
              <w:rPr/>
              <w:t>Authorization; Enforceability</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448" w:type="dxa"/>
            <w:tcBorders/>
          </w:tcPr>
          <w:p>
            <w:pPr>
              <w:pStyle w:val="TableContents"/>
              <w:bidi w:val="0"/>
              <w:spacing w:before="0" w:after="0"/>
              <w:jc w:val="left"/>
              <w:rPr>
                <w:rFonts w:ascii="Times New Roman" w:hAnsi="Times New Roman"/>
                <w:sz w:val="20"/>
              </w:rPr>
            </w:pPr>
            <w:r>
              <w:rPr>
                <w:rFonts w:ascii="Times New Roman" w:hAnsi="Times New Roman"/>
                <w:sz w:val="20"/>
              </w:rPr>
              <w:t>Section 4.04.</w:t>
            </w:r>
          </w:p>
        </w:tc>
        <w:tc>
          <w:tcPr>
            <w:tcW w:w="87" w:type="dxa"/>
            <w:tcBorders/>
            <w:vAlign w:val="bottom"/>
          </w:tcPr>
          <w:p>
            <w:pPr>
              <w:pStyle w:val="TableContents"/>
              <w:bidi w:val="0"/>
              <w:spacing w:before="0" w:after="283"/>
              <w:jc w:val="left"/>
              <w:rPr/>
            </w:pPr>
            <w:r>
              <w:rPr/>
              <w:t> </w:t>
            </w:r>
          </w:p>
        </w:tc>
        <w:tc>
          <w:tcPr>
            <w:tcW w:w="7949" w:type="dxa"/>
            <w:tcBorders/>
            <w:vAlign w:val="bottom"/>
          </w:tcPr>
          <w:p>
            <w:pPr>
              <w:pStyle w:val="TableContents"/>
              <w:bidi w:val="0"/>
              <w:spacing w:before="0" w:after="283"/>
              <w:jc w:val="left"/>
              <w:rPr/>
            </w:pPr>
            <w:r>
              <w:rPr/>
              <w:t>Governmental Approvals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448" w:type="dxa"/>
            <w:tcBorders/>
          </w:tcPr>
          <w:p>
            <w:pPr>
              <w:pStyle w:val="TableContents"/>
              <w:bidi w:val="0"/>
              <w:spacing w:before="0" w:after="0"/>
              <w:jc w:val="left"/>
              <w:rPr>
                <w:rFonts w:ascii="Times New Roman" w:hAnsi="Times New Roman"/>
                <w:sz w:val="20"/>
              </w:rPr>
            </w:pPr>
            <w:r>
              <w:rPr>
                <w:rFonts w:ascii="Times New Roman" w:hAnsi="Times New Roman"/>
                <w:sz w:val="20"/>
              </w:rPr>
              <w:t>Section 4.05.</w:t>
            </w:r>
          </w:p>
        </w:tc>
        <w:tc>
          <w:tcPr>
            <w:tcW w:w="87" w:type="dxa"/>
            <w:tcBorders/>
            <w:vAlign w:val="bottom"/>
          </w:tcPr>
          <w:p>
            <w:pPr>
              <w:pStyle w:val="TableContents"/>
              <w:bidi w:val="0"/>
              <w:spacing w:before="0" w:after="283"/>
              <w:jc w:val="left"/>
              <w:rPr/>
            </w:pPr>
            <w:r>
              <w:rPr/>
              <w:t> </w:t>
            </w:r>
          </w:p>
        </w:tc>
        <w:tc>
          <w:tcPr>
            <w:tcW w:w="7949" w:type="dxa"/>
            <w:tcBorders/>
            <w:vAlign w:val="bottom"/>
          </w:tcPr>
          <w:p>
            <w:pPr>
              <w:pStyle w:val="TableContents"/>
              <w:bidi w:val="0"/>
              <w:spacing w:before="0" w:after="283"/>
              <w:jc w:val="left"/>
              <w:rPr/>
            </w:pPr>
            <w:r>
              <w:rPr/>
              <w:t>Noncontravention</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448" w:type="dxa"/>
            <w:tcBorders/>
          </w:tcPr>
          <w:p>
            <w:pPr>
              <w:pStyle w:val="TableContents"/>
              <w:bidi w:val="0"/>
              <w:spacing w:before="0" w:after="0"/>
              <w:jc w:val="left"/>
              <w:rPr>
                <w:rFonts w:ascii="Times New Roman" w:hAnsi="Times New Roman"/>
                <w:sz w:val="20"/>
              </w:rPr>
            </w:pPr>
            <w:r>
              <w:rPr>
                <w:rFonts w:ascii="Times New Roman" w:hAnsi="Times New Roman"/>
                <w:sz w:val="20"/>
              </w:rPr>
              <w:t>Section 4.06.</w:t>
            </w:r>
          </w:p>
        </w:tc>
        <w:tc>
          <w:tcPr>
            <w:tcW w:w="87" w:type="dxa"/>
            <w:tcBorders/>
            <w:vAlign w:val="bottom"/>
          </w:tcPr>
          <w:p>
            <w:pPr>
              <w:pStyle w:val="TableContents"/>
              <w:bidi w:val="0"/>
              <w:spacing w:before="0" w:after="283"/>
              <w:jc w:val="left"/>
              <w:rPr/>
            </w:pPr>
            <w:r>
              <w:rPr/>
              <w:t> </w:t>
            </w:r>
          </w:p>
        </w:tc>
        <w:tc>
          <w:tcPr>
            <w:tcW w:w="7949" w:type="dxa"/>
            <w:tcBorders/>
            <w:vAlign w:val="bottom"/>
          </w:tcPr>
          <w:p>
            <w:pPr>
              <w:pStyle w:val="TableContents"/>
              <w:bidi w:val="0"/>
              <w:spacing w:before="0" w:after="283"/>
              <w:jc w:val="left"/>
              <w:rPr/>
            </w:pPr>
            <w:r>
              <w:rPr/>
              <w:t>Financial Matters; Undisclosed Liabilities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1448" w:type="dxa"/>
            <w:tcBorders/>
          </w:tcPr>
          <w:p>
            <w:pPr>
              <w:pStyle w:val="TableContents"/>
              <w:bidi w:val="0"/>
              <w:spacing w:before="0" w:after="0"/>
              <w:jc w:val="left"/>
              <w:rPr>
                <w:rFonts w:ascii="Times New Roman" w:hAnsi="Times New Roman"/>
                <w:sz w:val="20"/>
              </w:rPr>
            </w:pPr>
            <w:r>
              <w:rPr>
                <w:rFonts w:ascii="Times New Roman" w:hAnsi="Times New Roman"/>
                <w:sz w:val="20"/>
              </w:rPr>
              <w:t>Section 4.07.</w:t>
            </w:r>
          </w:p>
        </w:tc>
        <w:tc>
          <w:tcPr>
            <w:tcW w:w="87" w:type="dxa"/>
            <w:tcBorders/>
            <w:vAlign w:val="bottom"/>
          </w:tcPr>
          <w:p>
            <w:pPr>
              <w:pStyle w:val="TableContents"/>
              <w:bidi w:val="0"/>
              <w:spacing w:before="0" w:after="283"/>
              <w:jc w:val="left"/>
              <w:rPr/>
            </w:pPr>
            <w:r>
              <w:rPr/>
              <w:t> </w:t>
            </w:r>
          </w:p>
        </w:tc>
        <w:tc>
          <w:tcPr>
            <w:tcW w:w="7949" w:type="dxa"/>
            <w:tcBorders/>
            <w:vAlign w:val="bottom"/>
          </w:tcPr>
          <w:p>
            <w:pPr>
              <w:pStyle w:val="TableContents"/>
              <w:bidi w:val="0"/>
              <w:spacing w:before="0" w:after="283"/>
              <w:jc w:val="left"/>
              <w:rPr/>
            </w:pPr>
            <w:r>
              <w:rPr/>
              <w:t>Absence of Certain Changes or Events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448" w:type="dxa"/>
            <w:tcBorders/>
          </w:tcPr>
          <w:p>
            <w:pPr>
              <w:pStyle w:val="TableContents"/>
              <w:bidi w:val="0"/>
              <w:spacing w:before="0" w:after="0"/>
              <w:jc w:val="left"/>
              <w:rPr>
                <w:rFonts w:ascii="Times New Roman" w:hAnsi="Times New Roman"/>
                <w:sz w:val="20"/>
              </w:rPr>
            </w:pPr>
            <w:r>
              <w:rPr>
                <w:rFonts w:ascii="Times New Roman" w:hAnsi="Times New Roman"/>
                <w:sz w:val="20"/>
              </w:rPr>
              <w:t>Section 4.08.</w:t>
            </w:r>
          </w:p>
        </w:tc>
        <w:tc>
          <w:tcPr>
            <w:tcW w:w="87" w:type="dxa"/>
            <w:tcBorders/>
            <w:vAlign w:val="bottom"/>
          </w:tcPr>
          <w:p>
            <w:pPr>
              <w:pStyle w:val="TableContents"/>
              <w:bidi w:val="0"/>
              <w:spacing w:before="0" w:after="283"/>
              <w:jc w:val="left"/>
              <w:rPr/>
            </w:pPr>
            <w:r>
              <w:rPr/>
              <w:t> </w:t>
            </w:r>
          </w:p>
        </w:tc>
        <w:tc>
          <w:tcPr>
            <w:tcW w:w="7949" w:type="dxa"/>
            <w:tcBorders/>
            <w:vAlign w:val="bottom"/>
          </w:tcPr>
          <w:p>
            <w:pPr>
              <w:pStyle w:val="TableContents"/>
              <w:bidi w:val="0"/>
              <w:spacing w:before="0" w:after="283"/>
              <w:jc w:val="left"/>
              <w:rPr/>
            </w:pPr>
            <w:r>
              <w:rPr/>
              <w:t>Taxes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448" w:type="dxa"/>
            <w:tcBorders/>
          </w:tcPr>
          <w:p>
            <w:pPr>
              <w:pStyle w:val="TableContents"/>
              <w:bidi w:val="0"/>
              <w:spacing w:before="0" w:after="0"/>
              <w:jc w:val="left"/>
              <w:rPr>
                <w:rFonts w:ascii="Times New Roman" w:hAnsi="Times New Roman"/>
                <w:sz w:val="20"/>
              </w:rPr>
            </w:pPr>
            <w:r>
              <w:rPr>
                <w:rFonts w:ascii="Times New Roman" w:hAnsi="Times New Roman"/>
                <w:sz w:val="20"/>
              </w:rPr>
              <w:t>Section 4.09.</w:t>
            </w:r>
          </w:p>
        </w:tc>
        <w:tc>
          <w:tcPr>
            <w:tcW w:w="87" w:type="dxa"/>
            <w:tcBorders/>
            <w:vAlign w:val="bottom"/>
          </w:tcPr>
          <w:p>
            <w:pPr>
              <w:pStyle w:val="TableContents"/>
              <w:bidi w:val="0"/>
              <w:spacing w:before="0" w:after="283"/>
              <w:jc w:val="left"/>
              <w:rPr/>
            </w:pPr>
            <w:r>
              <w:rPr/>
              <w:t> </w:t>
            </w:r>
          </w:p>
        </w:tc>
        <w:tc>
          <w:tcPr>
            <w:tcW w:w="7949" w:type="dxa"/>
            <w:tcBorders/>
            <w:vAlign w:val="bottom"/>
          </w:tcPr>
          <w:p>
            <w:pPr>
              <w:pStyle w:val="TableContents"/>
              <w:bidi w:val="0"/>
              <w:spacing w:before="0" w:after="283"/>
              <w:jc w:val="left"/>
              <w:rPr/>
            </w:pPr>
            <w:r>
              <w:rPr/>
              <w:t>Employee Benefits Matters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448" w:type="dxa"/>
            <w:tcBorders/>
          </w:tcPr>
          <w:p>
            <w:pPr>
              <w:pStyle w:val="TableContents"/>
              <w:bidi w:val="0"/>
              <w:spacing w:before="0" w:after="0"/>
              <w:jc w:val="left"/>
              <w:rPr>
                <w:rFonts w:ascii="Times New Roman" w:hAnsi="Times New Roman"/>
                <w:sz w:val="20"/>
              </w:rPr>
            </w:pPr>
            <w:r>
              <w:rPr>
                <w:rFonts w:ascii="Times New Roman" w:hAnsi="Times New Roman"/>
                <w:sz w:val="20"/>
              </w:rPr>
              <w:t>Section 4.10.</w:t>
            </w:r>
          </w:p>
        </w:tc>
        <w:tc>
          <w:tcPr>
            <w:tcW w:w="87" w:type="dxa"/>
            <w:tcBorders/>
            <w:vAlign w:val="bottom"/>
          </w:tcPr>
          <w:p>
            <w:pPr>
              <w:pStyle w:val="TableContents"/>
              <w:bidi w:val="0"/>
              <w:spacing w:before="0" w:after="283"/>
              <w:jc w:val="left"/>
              <w:rPr/>
            </w:pPr>
            <w:r>
              <w:rPr/>
              <w:t> </w:t>
            </w:r>
          </w:p>
        </w:tc>
        <w:tc>
          <w:tcPr>
            <w:tcW w:w="7949" w:type="dxa"/>
            <w:tcBorders/>
            <w:vAlign w:val="bottom"/>
          </w:tcPr>
          <w:p>
            <w:pPr>
              <w:pStyle w:val="TableContents"/>
              <w:bidi w:val="0"/>
              <w:spacing w:before="0" w:after="283"/>
              <w:jc w:val="left"/>
              <w:rPr/>
            </w:pPr>
            <w:r>
              <w:rPr/>
              <w:t>Labor Matters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448" w:type="dxa"/>
            <w:tcBorders/>
          </w:tcPr>
          <w:p>
            <w:pPr>
              <w:pStyle w:val="TableContents"/>
              <w:bidi w:val="0"/>
              <w:spacing w:before="0" w:after="0"/>
              <w:jc w:val="left"/>
              <w:rPr>
                <w:rFonts w:ascii="Times New Roman" w:hAnsi="Times New Roman"/>
                <w:sz w:val="20"/>
              </w:rPr>
            </w:pPr>
            <w:r>
              <w:rPr>
                <w:rFonts w:ascii="Times New Roman" w:hAnsi="Times New Roman"/>
                <w:sz w:val="20"/>
              </w:rPr>
              <w:t>Section 4.11.</w:t>
            </w:r>
          </w:p>
        </w:tc>
        <w:tc>
          <w:tcPr>
            <w:tcW w:w="87" w:type="dxa"/>
            <w:tcBorders/>
            <w:vAlign w:val="bottom"/>
          </w:tcPr>
          <w:p>
            <w:pPr>
              <w:pStyle w:val="TableContents"/>
              <w:bidi w:val="0"/>
              <w:spacing w:before="0" w:after="283"/>
              <w:jc w:val="left"/>
              <w:rPr/>
            </w:pPr>
            <w:r>
              <w:rPr/>
              <w:t> </w:t>
            </w:r>
          </w:p>
        </w:tc>
        <w:tc>
          <w:tcPr>
            <w:tcW w:w="7949" w:type="dxa"/>
            <w:tcBorders/>
            <w:vAlign w:val="bottom"/>
          </w:tcPr>
          <w:p>
            <w:pPr>
              <w:pStyle w:val="TableContents"/>
              <w:bidi w:val="0"/>
              <w:spacing w:before="0" w:after="283"/>
              <w:jc w:val="left"/>
              <w:rPr/>
            </w:pPr>
            <w:r>
              <w:rPr/>
              <w:t>Litigation</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448" w:type="dxa"/>
            <w:tcBorders/>
          </w:tcPr>
          <w:p>
            <w:pPr>
              <w:pStyle w:val="TableContents"/>
              <w:bidi w:val="0"/>
              <w:spacing w:before="0" w:after="0"/>
              <w:jc w:val="left"/>
              <w:rPr>
                <w:rFonts w:ascii="Times New Roman" w:hAnsi="Times New Roman"/>
                <w:sz w:val="20"/>
              </w:rPr>
            </w:pPr>
            <w:r>
              <w:rPr>
                <w:rFonts w:ascii="Times New Roman" w:hAnsi="Times New Roman"/>
                <w:sz w:val="20"/>
              </w:rPr>
              <w:t>Section 4.12.</w:t>
            </w:r>
          </w:p>
        </w:tc>
        <w:tc>
          <w:tcPr>
            <w:tcW w:w="87" w:type="dxa"/>
            <w:tcBorders/>
            <w:vAlign w:val="bottom"/>
          </w:tcPr>
          <w:p>
            <w:pPr>
              <w:pStyle w:val="TableContents"/>
              <w:bidi w:val="0"/>
              <w:spacing w:before="0" w:after="283"/>
              <w:jc w:val="left"/>
              <w:rPr/>
            </w:pPr>
            <w:r>
              <w:rPr/>
              <w:t> </w:t>
            </w:r>
          </w:p>
        </w:tc>
        <w:tc>
          <w:tcPr>
            <w:tcW w:w="7949" w:type="dxa"/>
            <w:tcBorders/>
            <w:vAlign w:val="bottom"/>
          </w:tcPr>
          <w:p>
            <w:pPr>
              <w:pStyle w:val="TableContents"/>
              <w:bidi w:val="0"/>
              <w:spacing w:before="0" w:after="283"/>
              <w:jc w:val="left"/>
              <w:rPr/>
            </w:pPr>
            <w:r>
              <w:rPr/>
              <w:t>Compliance with Applicable Laws; Permits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448" w:type="dxa"/>
            <w:tcBorders/>
          </w:tcPr>
          <w:p>
            <w:pPr>
              <w:pStyle w:val="TableContents"/>
              <w:bidi w:val="0"/>
              <w:spacing w:before="0" w:after="0"/>
              <w:jc w:val="left"/>
              <w:rPr>
                <w:rFonts w:ascii="Times New Roman" w:hAnsi="Times New Roman"/>
                <w:sz w:val="20"/>
              </w:rPr>
            </w:pPr>
            <w:r>
              <w:rPr>
                <w:rFonts w:ascii="Times New Roman" w:hAnsi="Times New Roman"/>
                <w:sz w:val="20"/>
              </w:rPr>
              <w:t>Section 4.13.</w:t>
            </w:r>
          </w:p>
        </w:tc>
        <w:tc>
          <w:tcPr>
            <w:tcW w:w="87" w:type="dxa"/>
            <w:tcBorders/>
            <w:vAlign w:val="bottom"/>
          </w:tcPr>
          <w:p>
            <w:pPr>
              <w:pStyle w:val="TableContents"/>
              <w:bidi w:val="0"/>
              <w:spacing w:before="0" w:after="283"/>
              <w:jc w:val="left"/>
              <w:rPr/>
            </w:pPr>
            <w:r>
              <w:rPr/>
              <w:t> </w:t>
            </w:r>
          </w:p>
        </w:tc>
        <w:tc>
          <w:tcPr>
            <w:tcW w:w="7949" w:type="dxa"/>
            <w:tcBorders/>
            <w:vAlign w:val="bottom"/>
          </w:tcPr>
          <w:p>
            <w:pPr>
              <w:pStyle w:val="TableContents"/>
              <w:bidi w:val="0"/>
              <w:spacing w:before="0" w:after="283"/>
              <w:jc w:val="left"/>
              <w:rPr/>
            </w:pPr>
            <w:r>
              <w:rPr/>
              <w:t>Environmental Matters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448" w:type="dxa"/>
            <w:tcBorders/>
          </w:tcPr>
          <w:p>
            <w:pPr>
              <w:pStyle w:val="TableContents"/>
              <w:bidi w:val="0"/>
              <w:spacing w:before="0" w:after="0"/>
              <w:jc w:val="left"/>
              <w:rPr>
                <w:rFonts w:ascii="Times New Roman" w:hAnsi="Times New Roman"/>
                <w:sz w:val="20"/>
              </w:rPr>
            </w:pPr>
            <w:r>
              <w:rPr>
                <w:rFonts w:ascii="Times New Roman" w:hAnsi="Times New Roman"/>
                <w:sz w:val="20"/>
              </w:rPr>
              <w:t>Section 4.14.</w:t>
            </w:r>
          </w:p>
        </w:tc>
        <w:tc>
          <w:tcPr>
            <w:tcW w:w="87" w:type="dxa"/>
            <w:tcBorders/>
            <w:vAlign w:val="bottom"/>
          </w:tcPr>
          <w:p>
            <w:pPr>
              <w:pStyle w:val="TableContents"/>
              <w:bidi w:val="0"/>
              <w:spacing w:before="0" w:after="283"/>
              <w:jc w:val="left"/>
              <w:rPr/>
            </w:pPr>
            <w:r>
              <w:rPr/>
              <w:t> </w:t>
            </w:r>
          </w:p>
        </w:tc>
        <w:tc>
          <w:tcPr>
            <w:tcW w:w="7949" w:type="dxa"/>
            <w:tcBorders/>
            <w:vAlign w:val="bottom"/>
          </w:tcPr>
          <w:p>
            <w:pPr>
              <w:pStyle w:val="TableContents"/>
              <w:bidi w:val="0"/>
              <w:spacing w:before="0" w:after="283"/>
              <w:jc w:val="left"/>
              <w:rPr/>
            </w:pPr>
            <w:r>
              <w:rPr/>
              <w:t>Real Property</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448" w:type="dxa"/>
            <w:tcBorders/>
          </w:tcPr>
          <w:p>
            <w:pPr>
              <w:pStyle w:val="TableContents"/>
              <w:bidi w:val="0"/>
              <w:spacing w:before="0" w:after="0"/>
              <w:jc w:val="left"/>
              <w:rPr>
                <w:rFonts w:ascii="Times New Roman" w:hAnsi="Times New Roman"/>
                <w:sz w:val="20"/>
              </w:rPr>
            </w:pPr>
            <w:r>
              <w:rPr>
                <w:rFonts w:ascii="Times New Roman" w:hAnsi="Times New Roman"/>
                <w:sz w:val="20"/>
              </w:rPr>
              <w:t>Section 4.15.</w:t>
            </w:r>
          </w:p>
        </w:tc>
        <w:tc>
          <w:tcPr>
            <w:tcW w:w="87" w:type="dxa"/>
            <w:tcBorders/>
            <w:vAlign w:val="bottom"/>
          </w:tcPr>
          <w:p>
            <w:pPr>
              <w:pStyle w:val="TableContents"/>
              <w:bidi w:val="0"/>
              <w:spacing w:before="0" w:after="283"/>
              <w:jc w:val="left"/>
              <w:rPr/>
            </w:pPr>
            <w:r>
              <w:rPr/>
              <w:t> </w:t>
            </w:r>
          </w:p>
        </w:tc>
        <w:tc>
          <w:tcPr>
            <w:tcW w:w="7949" w:type="dxa"/>
            <w:tcBorders/>
            <w:vAlign w:val="bottom"/>
          </w:tcPr>
          <w:p>
            <w:pPr>
              <w:pStyle w:val="TableContents"/>
              <w:bidi w:val="0"/>
              <w:spacing w:before="0" w:after="283"/>
              <w:jc w:val="left"/>
              <w:rPr/>
            </w:pPr>
            <w:r>
              <w:rPr/>
              <w:t>Intellectual Property</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448" w:type="dxa"/>
            <w:tcBorders/>
          </w:tcPr>
          <w:p>
            <w:pPr>
              <w:pStyle w:val="TableContents"/>
              <w:bidi w:val="0"/>
              <w:spacing w:before="0" w:after="0"/>
              <w:jc w:val="left"/>
              <w:rPr>
                <w:rFonts w:ascii="Times New Roman" w:hAnsi="Times New Roman"/>
                <w:sz w:val="20"/>
              </w:rPr>
            </w:pPr>
            <w:r>
              <w:rPr>
                <w:rFonts w:ascii="Times New Roman" w:hAnsi="Times New Roman"/>
                <w:sz w:val="20"/>
              </w:rPr>
              <w:t>Section 4.16.</w:t>
            </w:r>
          </w:p>
        </w:tc>
        <w:tc>
          <w:tcPr>
            <w:tcW w:w="87" w:type="dxa"/>
            <w:tcBorders/>
            <w:vAlign w:val="bottom"/>
          </w:tcPr>
          <w:p>
            <w:pPr>
              <w:pStyle w:val="TableContents"/>
              <w:bidi w:val="0"/>
              <w:spacing w:before="0" w:after="283"/>
              <w:jc w:val="left"/>
              <w:rPr/>
            </w:pPr>
            <w:r>
              <w:rPr/>
              <w:t> </w:t>
            </w:r>
          </w:p>
        </w:tc>
        <w:tc>
          <w:tcPr>
            <w:tcW w:w="7949" w:type="dxa"/>
            <w:tcBorders/>
            <w:vAlign w:val="bottom"/>
          </w:tcPr>
          <w:p>
            <w:pPr>
              <w:pStyle w:val="TableContents"/>
              <w:bidi w:val="0"/>
              <w:spacing w:before="0" w:after="283"/>
              <w:jc w:val="left"/>
              <w:rPr/>
            </w:pPr>
            <w:r>
              <w:rPr/>
              <w:t>Privacy and Data Security</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448" w:type="dxa"/>
            <w:tcBorders/>
          </w:tcPr>
          <w:p>
            <w:pPr>
              <w:pStyle w:val="TableContents"/>
              <w:bidi w:val="0"/>
              <w:spacing w:before="0" w:after="0"/>
              <w:jc w:val="left"/>
              <w:rPr>
                <w:rFonts w:ascii="Times New Roman" w:hAnsi="Times New Roman"/>
                <w:sz w:val="20"/>
              </w:rPr>
            </w:pPr>
            <w:r>
              <w:rPr>
                <w:rFonts w:ascii="Times New Roman" w:hAnsi="Times New Roman"/>
                <w:sz w:val="20"/>
              </w:rPr>
              <w:t>Section 4.17.</w:t>
            </w:r>
          </w:p>
        </w:tc>
        <w:tc>
          <w:tcPr>
            <w:tcW w:w="87" w:type="dxa"/>
            <w:tcBorders/>
            <w:vAlign w:val="bottom"/>
          </w:tcPr>
          <w:p>
            <w:pPr>
              <w:pStyle w:val="TableContents"/>
              <w:bidi w:val="0"/>
              <w:spacing w:before="0" w:after="283"/>
              <w:jc w:val="left"/>
              <w:rPr/>
            </w:pPr>
            <w:r>
              <w:rPr/>
              <w:t> </w:t>
            </w:r>
          </w:p>
        </w:tc>
        <w:tc>
          <w:tcPr>
            <w:tcW w:w="7949" w:type="dxa"/>
            <w:tcBorders/>
            <w:vAlign w:val="bottom"/>
          </w:tcPr>
          <w:p>
            <w:pPr>
              <w:pStyle w:val="TableContents"/>
              <w:bidi w:val="0"/>
              <w:spacing w:before="0" w:after="283"/>
              <w:jc w:val="left"/>
              <w:rPr/>
            </w:pPr>
            <w:r>
              <w:rPr/>
              <w:t>Material Contracts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448" w:type="dxa"/>
            <w:tcBorders/>
          </w:tcPr>
          <w:p>
            <w:pPr>
              <w:pStyle w:val="TableContents"/>
              <w:bidi w:val="0"/>
              <w:spacing w:before="0" w:after="0"/>
              <w:jc w:val="left"/>
              <w:rPr>
                <w:rFonts w:ascii="Times New Roman" w:hAnsi="Times New Roman"/>
                <w:sz w:val="20"/>
              </w:rPr>
            </w:pPr>
            <w:r>
              <w:rPr>
                <w:rFonts w:ascii="Times New Roman" w:hAnsi="Times New Roman"/>
                <w:sz w:val="20"/>
              </w:rPr>
              <w:t>Section 4.18.</w:t>
            </w:r>
          </w:p>
        </w:tc>
        <w:tc>
          <w:tcPr>
            <w:tcW w:w="87" w:type="dxa"/>
            <w:tcBorders/>
            <w:vAlign w:val="bottom"/>
          </w:tcPr>
          <w:p>
            <w:pPr>
              <w:pStyle w:val="TableContents"/>
              <w:bidi w:val="0"/>
              <w:spacing w:before="0" w:after="283"/>
              <w:jc w:val="left"/>
              <w:rPr/>
            </w:pPr>
            <w:r>
              <w:rPr/>
              <w:t> </w:t>
            </w:r>
          </w:p>
        </w:tc>
        <w:tc>
          <w:tcPr>
            <w:tcW w:w="7949" w:type="dxa"/>
            <w:tcBorders/>
            <w:vAlign w:val="bottom"/>
          </w:tcPr>
          <w:p>
            <w:pPr>
              <w:pStyle w:val="TableContents"/>
              <w:bidi w:val="0"/>
              <w:spacing w:before="0" w:after="283"/>
              <w:jc w:val="left"/>
              <w:rPr/>
            </w:pPr>
            <w:r>
              <w:rPr/>
              <w:t>Government Contracts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448" w:type="dxa"/>
            <w:tcBorders/>
          </w:tcPr>
          <w:p>
            <w:pPr>
              <w:pStyle w:val="TableContents"/>
              <w:bidi w:val="0"/>
              <w:spacing w:before="0" w:after="0"/>
              <w:jc w:val="left"/>
              <w:rPr>
                <w:rFonts w:ascii="Times New Roman" w:hAnsi="Times New Roman"/>
                <w:sz w:val="20"/>
              </w:rPr>
            </w:pPr>
            <w:r>
              <w:rPr>
                <w:rFonts w:ascii="Times New Roman" w:hAnsi="Times New Roman"/>
                <w:sz w:val="20"/>
              </w:rPr>
              <w:t>Section 4.19.</w:t>
            </w:r>
          </w:p>
        </w:tc>
        <w:tc>
          <w:tcPr>
            <w:tcW w:w="87" w:type="dxa"/>
            <w:tcBorders/>
            <w:vAlign w:val="bottom"/>
          </w:tcPr>
          <w:p>
            <w:pPr>
              <w:pStyle w:val="TableContents"/>
              <w:bidi w:val="0"/>
              <w:spacing w:before="0" w:after="283"/>
              <w:jc w:val="left"/>
              <w:rPr/>
            </w:pPr>
            <w:r>
              <w:rPr/>
              <w:t> </w:t>
            </w:r>
          </w:p>
        </w:tc>
        <w:tc>
          <w:tcPr>
            <w:tcW w:w="7949" w:type="dxa"/>
            <w:tcBorders/>
            <w:vAlign w:val="bottom"/>
          </w:tcPr>
          <w:p>
            <w:pPr>
              <w:pStyle w:val="TableContents"/>
              <w:bidi w:val="0"/>
              <w:spacing w:before="0" w:after="283"/>
              <w:jc w:val="left"/>
              <w:rPr/>
            </w:pPr>
            <w:r>
              <w:rPr/>
              <w:t>Related Party Arrangements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1448" w:type="dxa"/>
            <w:tcBorders/>
          </w:tcPr>
          <w:p>
            <w:pPr>
              <w:pStyle w:val="TableContents"/>
              <w:bidi w:val="0"/>
              <w:spacing w:before="0" w:after="0"/>
              <w:jc w:val="left"/>
              <w:rPr>
                <w:rFonts w:ascii="Times New Roman" w:hAnsi="Times New Roman"/>
                <w:sz w:val="20"/>
              </w:rPr>
            </w:pPr>
            <w:r>
              <w:rPr>
                <w:rFonts w:ascii="Times New Roman" w:hAnsi="Times New Roman"/>
                <w:sz w:val="20"/>
              </w:rPr>
              <w:t>Section 4.20.</w:t>
            </w:r>
          </w:p>
        </w:tc>
        <w:tc>
          <w:tcPr>
            <w:tcW w:w="87" w:type="dxa"/>
            <w:tcBorders/>
            <w:vAlign w:val="bottom"/>
          </w:tcPr>
          <w:p>
            <w:pPr>
              <w:pStyle w:val="TableContents"/>
              <w:bidi w:val="0"/>
              <w:spacing w:before="0" w:after="283"/>
              <w:jc w:val="left"/>
              <w:rPr/>
            </w:pPr>
            <w:r>
              <w:rPr/>
              <w:t> </w:t>
            </w:r>
          </w:p>
        </w:tc>
        <w:tc>
          <w:tcPr>
            <w:tcW w:w="7949" w:type="dxa"/>
            <w:tcBorders/>
            <w:vAlign w:val="bottom"/>
          </w:tcPr>
          <w:p>
            <w:pPr>
              <w:pStyle w:val="TableContents"/>
              <w:bidi w:val="0"/>
              <w:spacing w:before="0" w:after="283"/>
              <w:jc w:val="left"/>
              <w:rPr/>
            </w:pPr>
            <w:r>
              <w:rPr/>
              <w:t>Brokers </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493"/>
        <w:gridCol w:w="91"/>
        <w:gridCol w:w="8095"/>
        <w:gridCol w:w="142"/>
        <w:gridCol w:w="60"/>
        <w:gridCol w:w="261"/>
        <w:gridCol w:w="63"/>
      </w:tblGrid>
      <w:tr>
        <w:trPr/>
        <w:tc>
          <w:tcPr>
            <w:tcW w:w="1493"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8095"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4.21.</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Title to Assets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4.22.</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Sufficiency of Assets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4.23.</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Product and Service Warranty and Liability; Safety</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4.24.</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Insurance</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4.25.</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Top Customers and Top Vendors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4.26.</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Accounts Receivable; Accounts Payable</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4.27.</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Inventory</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4.28.</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Bank Accounts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4.29.</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Capital Expenditures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rHeight w:val="120" w:hRule="atLeast"/>
        </w:trPr>
        <w:tc>
          <w:tcPr>
            <w:tcW w:w="9679" w:type="dxa"/>
            <w:gridSpan w:val="3"/>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9679"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V. REPRESENTATIONS AND WARRANTIES OF SELLER</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b/>
              </w:rPr>
            </w:pPr>
            <w:r>
              <w:rPr>
                <w:b/>
              </w:rPr>
              <w:t>39</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Organization; Standing and Power</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Authority; Execution and Delivery; Enforceability</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No Conflicts; Governmental Approvals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Litigation</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5.05.</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Title</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5.06.</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Brokers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rHeight w:val="120" w:hRule="atLeast"/>
        </w:trPr>
        <w:tc>
          <w:tcPr>
            <w:tcW w:w="9679" w:type="dxa"/>
            <w:gridSpan w:val="3"/>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9679"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VI. ADDITIONAL AGREEMENTS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b/>
              </w:rPr>
            </w:pPr>
            <w:r>
              <w:rPr>
                <w:b/>
              </w:rPr>
              <w:t>40</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Books and Records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Tail Policy</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Fees and Expenses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Public Announcements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Tax Matters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R&amp;W Insurance Policy</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Restrictive Covenants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6.08.</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[RESERVED]</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6.09.</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[RESERVED]</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Canada Regulatory Notifications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Further Assurances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6.12.</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Employee Matters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6.13.</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Shared Contracts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6.14.</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Certain Remittance</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6.15.</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Leaseback of Antique Firearms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rHeight w:val="120" w:hRule="atLeast"/>
        </w:trPr>
        <w:tc>
          <w:tcPr>
            <w:tcW w:w="9679" w:type="dxa"/>
            <w:gridSpan w:val="3"/>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9679"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VII. CLOSING DELIVERIES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b/>
              </w:rPr>
            </w:pPr>
            <w:r>
              <w:rPr>
                <w:b/>
              </w:rPr>
              <w:t>46</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Company’s and Seller’s Closing Deliveries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Parent’s and Merger Sub’s Closing Deliveries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rHeight w:val="120" w:hRule="atLeast"/>
        </w:trPr>
        <w:tc>
          <w:tcPr>
            <w:tcW w:w="9679" w:type="dxa"/>
            <w:gridSpan w:val="3"/>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9679"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VIII. SURVIVAL; INDEMNIFICATION</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b/>
              </w:rPr>
            </w:pPr>
            <w:r>
              <w:rPr>
                <w:b/>
              </w:rPr>
              <w:t>48</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Survival</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Indemnification of Parent Indemnified Parties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Limitations on Indemnification</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Third-Party Claims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Direct Claims for Indemnification</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8.05.</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Calculation of Losses; Adjustment to Merger Consideration</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8.06.</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Exclusion of Other Remedies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8.07.</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Order of Recovery</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8.08.</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No Circular Recovery or Right of Contribution</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8.09.</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Materiality Qualification; Strict Liability</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rHeight w:val="120" w:hRule="atLeast"/>
        </w:trPr>
        <w:tc>
          <w:tcPr>
            <w:tcW w:w="9679" w:type="dxa"/>
            <w:gridSpan w:val="3"/>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9679"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IX. GENERAL PROVISIONS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b/>
              </w:rPr>
            </w:pPr>
            <w:r>
              <w:rPr>
                <w:b/>
              </w:rPr>
              <w:t>52</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Amendment</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Waiver</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1493"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91" w:type="dxa"/>
            <w:tcBorders/>
            <w:vAlign w:val="bottom"/>
          </w:tcPr>
          <w:p>
            <w:pPr>
              <w:pStyle w:val="TableContents"/>
              <w:bidi w:val="0"/>
              <w:spacing w:before="0" w:after="283"/>
              <w:jc w:val="left"/>
              <w:rPr/>
            </w:pPr>
            <w:r>
              <w:rPr/>
              <w:t> </w:t>
            </w:r>
          </w:p>
        </w:tc>
        <w:tc>
          <w:tcPr>
            <w:tcW w:w="8095" w:type="dxa"/>
            <w:tcBorders/>
            <w:vAlign w:val="bottom"/>
          </w:tcPr>
          <w:p>
            <w:pPr>
              <w:pStyle w:val="TableContents"/>
              <w:bidi w:val="0"/>
              <w:spacing w:before="0" w:after="283"/>
              <w:jc w:val="left"/>
              <w:rPr/>
            </w:pPr>
            <w:r>
              <w:rPr/>
              <w:t>Notices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626"/>
        <w:gridCol w:w="101"/>
        <w:gridCol w:w="7945"/>
        <w:gridCol w:w="149"/>
        <w:gridCol w:w="60"/>
        <w:gridCol w:w="261"/>
        <w:gridCol w:w="63"/>
      </w:tblGrid>
      <w:tr>
        <w:trPr/>
        <w:tc>
          <w:tcPr>
            <w:tcW w:w="162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945"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626"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101" w:type="dxa"/>
            <w:tcBorders/>
            <w:vAlign w:val="bottom"/>
          </w:tcPr>
          <w:p>
            <w:pPr>
              <w:pStyle w:val="TableContents"/>
              <w:bidi w:val="0"/>
              <w:spacing w:before="0" w:after="283"/>
              <w:jc w:val="left"/>
              <w:rPr/>
            </w:pPr>
            <w:r>
              <w:rPr/>
              <w:t> </w:t>
            </w:r>
          </w:p>
        </w:tc>
        <w:tc>
          <w:tcPr>
            <w:tcW w:w="7945" w:type="dxa"/>
            <w:tcBorders/>
            <w:vAlign w:val="bottom"/>
          </w:tcPr>
          <w:p>
            <w:pPr>
              <w:pStyle w:val="TableContents"/>
              <w:bidi w:val="0"/>
              <w:spacing w:before="0" w:after="283"/>
              <w:jc w:val="left"/>
              <w:rPr/>
            </w:pPr>
            <w:r>
              <w:rPr/>
              <w:t>Headings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1626"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101" w:type="dxa"/>
            <w:tcBorders/>
            <w:vAlign w:val="bottom"/>
          </w:tcPr>
          <w:p>
            <w:pPr>
              <w:pStyle w:val="TableContents"/>
              <w:bidi w:val="0"/>
              <w:spacing w:before="0" w:after="283"/>
              <w:jc w:val="left"/>
              <w:rPr/>
            </w:pPr>
            <w:r>
              <w:rPr/>
              <w:t> </w:t>
            </w:r>
          </w:p>
        </w:tc>
        <w:tc>
          <w:tcPr>
            <w:tcW w:w="7945" w:type="dxa"/>
            <w:tcBorders/>
            <w:vAlign w:val="bottom"/>
          </w:tcPr>
          <w:p>
            <w:pPr>
              <w:pStyle w:val="TableContents"/>
              <w:bidi w:val="0"/>
              <w:spacing w:before="0" w:after="283"/>
              <w:jc w:val="left"/>
              <w:rPr/>
            </w:pPr>
            <w:r>
              <w:rPr/>
              <w:t>Interpretation</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1626" w:type="dxa"/>
            <w:tcBorders/>
          </w:tcPr>
          <w:p>
            <w:pPr>
              <w:pStyle w:val="TableContents"/>
              <w:bidi w:val="0"/>
              <w:spacing w:before="0" w:after="0"/>
              <w:jc w:val="left"/>
              <w:rPr>
                <w:rFonts w:ascii="Times New Roman" w:hAnsi="Times New Roman"/>
                <w:sz w:val="20"/>
              </w:rPr>
            </w:pPr>
            <w:r>
              <w:rPr>
                <w:rFonts w:ascii="Times New Roman" w:hAnsi="Times New Roman"/>
                <w:sz w:val="20"/>
              </w:rPr>
              <w:t>Section 9.06.</w:t>
            </w:r>
          </w:p>
        </w:tc>
        <w:tc>
          <w:tcPr>
            <w:tcW w:w="101" w:type="dxa"/>
            <w:tcBorders/>
            <w:vAlign w:val="bottom"/>
          </w:tcPr>
          <w:p>
            <w:pPr>
              <w:pStyle w:val="TableContents"/>
              <w:bidi w:val="0"/>
              <w:spacing w:before="0" w:after="283"/>
              <w:jc w:val="left"/>
              <w:rPr/>
            </w:pPr>
            <w:r>
              <w:rPr/>
              <w:t> </w:t>
            </w:r>
          </w:p>
        </w:tc>
        <w:tc>
          <w:tcPr>
            <w:tcW w:w="7945" w:type="dxa"/>
            <w:tcBorders/>
            <w:vAlign w:val="bottom"/>
          </w:tcPr>
          <w:p>
            <w:pPr>
              <w:pStyle w:val="TableContents"/>
              <w:bidi w:val="0"/>
              <w:spacing w:before="0" w:after="283"/>
              <w:jc w:val="left"/>
              <w:rPr/>
            </w:pPr>
            <w:r>
              <w:rPr/>
              <w:t>Disclosure Letter</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626" w:type="dxa"/>
            <w:tcBorders/>
          </w:tcPr>
          <w:p>
            <w:pPr>
              <w:pStyle w:val="TableContents"/>
              <w:bidi w:val="0"/>
              <w:spacing w:before="0" w:after="0"/>
              <w:jc w:val="left"/>
              <w:rPr>
                <w:rFonts w:ascii="Times New Roman" w:hAnsi="Times New Roman"/>
                <w:sz w:val="20"/>
              </w:rPr>
            </w:pPr>
            <w:r>
              <w:rPr>
                <w:rFonts w:ascii="Times New Roman" w:hAnsi="Times New Roman"/>
                <w:sz w:val="20"/>
              </w:rPr>
              <w:t>Section 9.07.</w:t>
            </w:r>
          </w:p>
        </w:tc>
        <w:tc>
          <w:tcPr>
            <w:tcW w:w="101" w:type="dxa"/>
            <w:tcBorders/>
            <w:vAlign w:val="bottom"/>
          </w:tcPr>
          <w:p>
            <w:pPr>
              <w:pStyle w:val="TableContents"/>
              <w:bidi w:val="0"/>
              <w:spacing w:before="0" w:after="283"/>
              <w:jc w:val="left"/>
              <w:rPr/>
            </w:pPr>
            <w:r>
              <w:rPr/>
              <w:t> </w:t>
            </w:r>
          </w:p>
        </w:tc>
        <w:tc>
          <w:tcPr>
            <w:tcW w:w="7945" w:type="dxa"/>
            <w:tcBorders/>
            <w:vAlign w:val="bottom"/>
          </w:tcPr>
          <w:p>
            <w:pPr>
              <w:pStyle w:val="TableContents"/>
              <w:bidi w:val="0"/>
              <w:spacing w:before="0" w:after="283"/>
              <w:jc w:val="left"/>
              <w:rPr/>
            </w:pPr>
            <w:r>
              <w:rPr/>
              <w:t>Severability</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626" w:type="dxa"/>
            <w:tcBorders/>
          </w:tcPr>
          <w:p>
            <w:pPr>
              <w:pStyle w:val="TableContents"/>
              <w:bidi w:val="0"/>
              <w:spacing w:before="0" w:after="0"/>
              <w:jc w:val="left"/>
              <w:rPr>
                <w:rFonts w:ascii="Times New Roman" w:hAnsi="Times New Roman"/>
                <w:sz w:val="20"/>
              </w:rPr>
            </w:pPr>
            <w:r>
              <w:rPr>
                <w:rFonts w:ascii="Times New Roman" w:hAnsi="Times New Roman"/>
                <w:sz w:val="20"/>
              </w:rPr>
              <w:t>Section 9.08.</w:t>
            </w:r>
          </w:p>
        </w:tc>
        <w:tc>
          <w:tcPr>
            <w:tcW w:w="101" w:type="dxa"/>
            <w:tcBorders/>
            <w:vAlign w:val="bottom"/>
          </w:tcPr>
          <w:p>
            <w:pPr>
              <w:pStyle w:val="TableContents"/>
              <w:bidi w:val="0"/>
              <w:spacing w:before="0" w:after="283"/>
              <w:jc w:val="left"/>
              <w:rPr/>
            </w:pPr>
            <w:r>
              <w:rPr/>
              <w:t> </w:t>
            </w:r>
          </w:p>
        </w:tc>
        <w:tc>
          <w:tcPr>
            <w:tcW w:w="7945" w:type="dxa"/>
            <w:tcBorders/>
            <w:vAlign w:val="bottom"/>
          </w:tcPr>
          <w:p>
            <w:pPr>
              <w:pStyle w:val="TableContents"/>
              <w:bidi w:val="0"/>
              <w:spacing w:before="0" w:after="283"/>
              <w:jc w:val="left"/>
              <w:rPr/>
            </w:pPr>
            <w:r>
              <w:rPr/>
              <w:t>Counterparts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626" w:type="dxa"/>
            <w:tcBorders/>
          </w:tcPr>
          <w:p>
            <w:pPr>
              <w:pStyle w:val="TableContents"/>
              <w:bidi w:val="0"/>
              <w:spacing w:before="0" w:after="0"/>
              <w:jc w:val="left"/>
              <w:rPr>
                <w:rFonts w:ascii="Times New Roman" w:hAnsi="Times New Roman"/>
                <w:sz w:val="20"/>
              </w:rPr>
            </w:pPr>
            <w:r>
              <w:rPr>
                <w:rFonts w:ascii="Times New Roman" w:hAnsi="Times New Roman"/>
                <w:sz w:val="20"/>
              </w:rPr>
              <w:t>Section 9.09.</w:t>
            </w:r>
          </w:p>
        </w:tc>
        <w:tc>
          <w:tcPr>
            <w:tcW w:w="101" w:type="dxa"/>
            <w:tcBorders/>
            <w:vAlign w:val="bottom"/>
          </w:tcPr>
          <w:p>
            <w:pPr>
              <w:pStyle w:val="TableContents"/>
              <w:bidi w:val="0"/>
              <w:spacing w:before="0" w:after="283"/>
              <w:jc w:val="left"/>
              <w:rPr/>
            </w:pPr>
            <w:r>
              <w:rPr/>
              <w:t> </w:t>
            </w:r>
          </w:p>
        </w:tc>
        <w:tc>
          <w:tcPr>
            <w:tcW w:w="7945" w:type="dxa"/>
            <w:tcBorders/>
            <w:vAlign w:val="bottom"/>
          </w:tcPr>
          <w:p>
            <w:pPr>
              <w:pStyle w:val="TableContents"/>
              <w:bidi w:val="0"/>
              <w:spacing w:before="0" w:after="283"/>
              <w:jc w:val="left"/>
              <w:rPr/>
            </w:pPr>
            <w:r>
              <w:rPr/>
              <w:t>Entire Agreement; No Third-Party Beneficiaries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1626" w:type="dxa"/>
            <w:tcBorders/>
          </w:tcPr>
          <w:p>
            <w:pPr>
              <w:pStyle w:val="TableContents"/>
              <w:bidi w:val="0"/>
              <w:spacing w:before="0" w:after="0"/>
              <w:jc w:val="left"/>
              <w:rPr>
                <w:rFonts w:ascii="Times New Roman" w:hAnsi="Times New Roman"/>
                <w:sz w:val="20"/>
              </w:rPr>
            </w:pPr>
            <w:r>
              <w:rPr>
                <w:rFonts w:ascii="Times New Roman" w:hAnsi="Times New Roman"/>
                <w:sz w:val="20"/>
              </w:rPr>
              <w:t>Section 9.10.</w:t>
            </w:r>
          </w:p>
        </w:tc>
        <w:tc>
          <w:tcPr>
            <w:tcW w:w="101" w:type="dxa"/>
            <w:tcBorders/>
            <w:vAlign w:val="bottom"/>
          </w:tcPr>
          <w:p>
            <w:pPr>
              <w:pStyle w:val="TableContents"/>
              <w:bidi w:val="0"/>
              <w:spacing w:before="0" w:after="283"/>
              <w:jc w:val="left"/>
              <w:rPr/>
            </w:pPr>
            <w:r>
              <w:rPr/>
              <w:t> </w:t>
            </w:r>
          </w:p>
        </w:tc>
        <w:tc>
          <w:tcPr>
            <w:tcW w:w="7945" w:type="dxa"/>
            <w:tcBorders/>
            <w:vAlign w:val="bottom"/>
          </w:tcPr>
          <w:p>
            <w:pPr>
              <w:pStyle w:val="TableContents"/>
              <w:bidi w:val="0"/>
              <w:spacing w:before="0" w:after="283"/>
              <w:jc w:val="left"/>
              <w:rPr/>
            </w:pPr>
            <w:r>
              <w:rPr/>
              <w:t>Governing Law</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1626" w:type="dxa"/>
            <w:tcBorders/>
          </w:tcPr>
          <w:p>
            <w:pPr>
              <w:pStyle w:val="TableContents"/>
              <w:bidi w:val="0"/>
              <w:spacing w:before="0" w:after="0"/>
              <w:jc w:val="left"/>
              <w:rPr>
                <w:rFonts w:ascii="Times New Roman" w:hAnsi="Times New Roman"/>
                <w:sz w:val="20"/>
              </w:rPr>
            </w:pPr>
            <w:r>
              <w:rPr>
                <w:rFonts w:ascii="Times New Roman" w:hAnsi="Times New Roman"/>
                <w:sz w:val="20"/>
              </w:rPr>
              <w:t>Section 9.11.</w:t>
            </w:r>
          </w:p>
        </w:tc>
        <w:tc>
          <w:tcPr>
            <w:tcW w:w="101" w:type="dxa"/>
            <w:tcBorders/>
            <w:vAlign w:val="bottom"/>
          </w:tcPr>
          <w:p>
            <w:pPr>
              <w:pStyle w:val="TableContents"/>
              <w:bidi w:val="0"/>
              <w:spacing w:before="0" w:after="283"/>
              <w:jc w:val="left"/>
              <w:rPr/>
            </w:pPr>
            <w:r>
              <w:rPr/>
              <w:t> </w:t>
            </w:r>
          </w:p>
        </w:tc>
        <w:tc>
          <w:tcPr>
            <w:tcW w:w="7945" w:type="dxa"/>
            <w:tcBorders/>
            <w:vAlign w:val="bottom"/>
          </w:tcPr>
          <w:p>
            <w:pPr>
              <w:pStyle w:val="TableContents"/>
              <w:bidi w:val="0"/>
              <w:spacing w:before="0" w:after="283"/>
              <w:jc w:val="left"/>
              <w:rPr/>
            </w:pPr>
            <w:r>
              <w:rPr/>
              <w:t>Assignment</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1626" w:type="dxa"/>
            <w:tcBorders/>
          </w:tcPr>
          <w:p>
            <w:pPr>
              <w:pStyle w:val="TableContents"/>
              <w:bidi w:val="0"/>
              <w:spacing w:before="0" w:after="0"/>
              <w:jc w:val="left"/>
              <w:rPr>
                <w:rFonts w:ascii="Times New Roman" w:hAnsi="Times New Roman"/>
                <w:sz w:val="20"/>
              </w:rPr>
            </w:pPr>
            <w:r>
              <w:rPr>
                <w:rFonts w:ascii="Times New Roman" w:hAnsi="Times New Roman"/>
                <w:sz w:val="20"/>
              </w:rPr>
              <w:t>Section 9.12.</w:t>
            </w:r>
          </w:p>
        </w:tc>
        <w:tc>
          <w:tcPr>
            <w:tcW w:w="101" w:type="dxa"/>
            <w:tcBorders/>
            <w:vAlign w:val="bottom"/>
          </w:tcPr>
          <w:p>
            <w:pPr>
              <w:pStyle w:val="TableContents"/>
              <w:bidi w:val="0"/>
              <w:spacing w:before="0" w:after="283"/>
              <w:jc w:val="left"/>
              <w:rPr/>
            </w:pPr>
            <w:r>
              <w:rPr/>
              <w:t> </w:t>
            </w:r>
          </w:p>
        </w:tc>
        <w:tc>
          <w:tcPr>
            <w:tcW w:w="7945" w:type="dxa"/>
            <w:tcBorders/>
            <w:vAlign w:val="bottom"/>
          </w:tcPr>
          <w:p>
            <w:pPr>
              <w:pStyle w:val="TableContents"/>
              <w:bidi w:val="0"/>
              <w:spacing w:before="0" w:after="283"/>
              <w:jc w:val="left"/>
              <w:rPr/>
            </w:pPr>
            <w:r>
              <w:rPr/>
              <w:t>Specific Performance</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1626" w:type="dxa"/>
            <w:tcBorders/>
          </w:tcPr>
          <w:p>
            <w:pPr>
              <w:pStyle w:val="TableContents"/>
              <w:bidi w:val="0"/>
              <w:spacing w:before="0" w:after="0"/>
              <w:jc w:val="left"/>
              <w:rPr>
                <w:rFonts w:ascii="Times New Roman" w:hAnsi="Times New Roman"/>
                <w:sz w:val="20"/>
              </w:rPr>
            </w:pPr>
            <w:r>
              <w:rPr>
                <w:rFonts w:ascii="Times New Roman" w:hAnsi="Times New Roman"/>
                <w:sz w:val="20"/>
              </w:rPr>
              <w:t>Section 9.13.</w:t>
            </w:r>
          </w:p>
        </w:tc>
        <w:tc>
          <w:tcPr>
            <w:tcW w:w="101" w:type="dxa"/>
            <w:tcBorders/>
            <w:vAlign w:val="bottom"/>
          </w:tcPr>
          <w:p>
            <w:pPr>
              <w:pStyle w:val="TableContents"/>
              <w:bidi w:val="0"/>
              <w:spacing w:before="0" w:after="283"/>
              <w:jc w:val="left"/>
              <w:rPr/>
            </w:pPr>
            <w:r>
              <w:rPr/>
              <w:t> </w:t>
            </w:r>
          </w:p>
        </w:tc>
        <w:tc>
          <w:tcPr>
            <w:tcW w:w="7945" w:type="dxa"/>
            <w:tcBorders/>
            <w:vAlign w:val="bottom"/>
          </w:tcPr>
          <w:p>
            <w:pPr>
              <w:pStyle w:val="TableContents"/>
              <w:bidi w:val="0"/>
              <w:spacing w:before="0" w:after="283"/>
              <w:jc w:val="left"/>
              <w:rPr/>
            </w:pPr>
            <w:r>
              <w:rPr/>
              <w:t>Jurisdiction; Venue; Service of Process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1626" w:type="dxa"/>
            <w:tcBorders/>
          </w:tcPr>
          <w:p>
            <w:pPr>
              <w:pStyle w:val="TableContents"/>
              <w:bidi w:val="0"/>
              <w:spacing w:before="0" w:after="0"/>
              <w:jc w:val="left"/>
              <w:rPr>
                <w:rFonts w:ascii="Times New Roman" w:hAnsi="Times New Roman"/>
                <w:sz w:val="20"/>
              </w:rPr>
            </w:pPr>
            <w:r>
              <w:rPr>
                <w:rFonts w:ascii="Times New Roman" w:hAnsi="Times New Roman"/>
                <w:sz w:val="20"/>
              </w:rPr>
              <w:t>Section 9.14.</w:t>
            </w:r>
          </w:p>
        </w:tc>
        <w:tc>
          <w:tcPr>
            <w:tcW w:w="101" w:type="dxa"/>
            <w:tcBorders/>
            <w:vAlign w:val="bottom"/>
          </w:tcPr>
          <w:p>
            <w:pPr>
              <w:pStyle w:val="TableContents"/>
              <w:bidi w:val="0"/>
              <w:spacing w:before="0" w:after="283"/>
              <w:jc w:val="left"/>
              <w:rPr/>
            </w:pPr>
            <w:r>
              <w:rPr/>
              <w:t> </w:t>
            </w:r>
          </w:p>
        </w:tc>
        <w:tc>
          <w:tcPr>
            <w:tcW w:w="7945" w:type="dxa"/>
            <w:tcBorders/>
            <w:vAlign w:val="bottom"/>
          </w:tcPr>
          <w:p>
            <w:pPr>
              <w:pStyle w:val="TableContents"/>
              <w:bidi w:val="0"/>
              <w:spacing w:before="0" w:after="283"/>
              <w:jc w:val="left"/>
              <w:rPr/>
            </w:pPr>
            <w:r>
              <w:rPr/>
              <w:t>Waiver of Jury Trial</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1626" w:type="dxa"/>
            <w:tcBorders/>
          </w:tcPr>
          <w:p>
            <w:pPr>
              <w:pStyle w:val="TableContents"/>
              <w:bidi w:val="0"/>
              <w:spacing w:before="0" w:after="0"/>
              <w:jc w:val="left"/>
              <w:rPr>
                <w:rFonts w:ascii="Times New Roman" w:hAnsi="Times New Roman"/>
                <w:sz w:val="20"/>
              </w:rPr>
            </w:pPr>
            <w:r>
              <w:rPr>
                <w:rFonts w:ascii="Times New Roman" w:hAnsi="Times New Roman"/>
                <w:sz w:val="20"/>
              </w:rPr>
              <w:t>Section 9.15.</w:t>
            </w:r>
          </w:p>
        </w:tc>
        <w:tc>
          <w:tcPr>
            <w:tcW w:w="101" w:type="dxa"/>
            <w:tcBorders/>
            <w:vAlign w:val="bottom"/>
          </w:tcPr>
          <w:p>
            <w:pPr>
              <w:pStyle w:val="TableContents"/>
              <w:bidi w:val="0"/>
              <w:spacing w:before="0" w:after="283"/>
              <w:jc w:val="left"/>
              <w:rPr/>
            </w:pPr>
            <w:r>
              <w:rPr/>
              <w:t> </w:t>
            </w:r>
          </w:p>
        </w:tc>
        <w:tc>
          <w:tcPr>
            <w:tcW w:w="7945" w:type="dxa"/>
            <w:tcBorders/>
            <w:vAlign w:val="bottom"/>
          </w:tcPr>
          <w:p>
            <w:pPr>
              <w:pStyle w:val="TableContents"/>
              <w:bidi w:val="0"/>
              <w:spacing w:before="0" w:after="283"/>
              <w:jc w:val="left"/>
              <w:rPr/>
            </w:pPr>
            <w:r>
              <w:rPr/>
              <w:t>[RESERVED]</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1626" w:type="dxa"/>
            <w:tcBorders/>
          </w:tcPr>
          <w:p>
            <w:pPr>
              <w:pStyle w:val="TableContents"/>
              <w:bidi w:val="0"/>
              <w:spacing w:before="0" w:after="0"/>
              <w:jc w:val="left"/>
              <w:rPr>
                <w:rFonts w:ascii="Times New Roman" w:hAnsi="Times New Roman"/>
                <w:sz w:val="20"/>
              </w:rPr>
            </w:pPr>
            <w:r>
              <w:rPr>
                <w:rFonts w:ascii="Times New Roman" w:hAnsi="Times New Roman"/>
                <w:sz w:val="20"/>
              </w:rPr>
              <w:t>Section 9.16.</w:t>
            </w:r>
          </w:p>
        </w:tc>
        <w:tc>
          <w:tcPr>
            <w:tcW w:w="101" w:type="dxa"/>
            <w:tcBorders/>
            <w:vAlign w:val="bottom"/>
          </w:tcPr>
          <w:p>
            <w:pPr>
              <w:pStyle w:val="TableContents"/>
              <w:bidi w:val="0"/>
              <w:spacing w:before="0" w:after="283"/>
              <w:jc w:val="left"/>
              <w:rPr/>
            </w:pPr>
            <w:r>
              <w:rPr/>
              <w:t> </w:t>
            </w:r>
          </w:p>
        </w:tc>
        <w:tc>
          <w:tcPr>
            <w:tcW w:w="7945" w:type="dxa"/>
            <w:tcBorders/>
            <w:vAlign w:val="bottom"/>
          </w:tcPr>
          <w:p>
            <w:pPr>
              <w:pStyle w:val="TableContents"/>
              <w:bidi w:val="0"/>
              <w:spacing w:before="0" w:after="283"/>
              <w:jc w:val="left"/>
              <w:rPr/>
            </w:pPr>
            <w:r>
              <w:rPr/>
              <w:t>Definitions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51"/>
        <w:gridCol w:w="123"/>
        <w:gridCol w:w="8431"/>
      </w:tblGrid>
      <w:tr>
        <w:trPr/>
        <w:tc>
          <w:tcPr>
            <w:tcW w:w="165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43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Annexes, Exhibits and Schedules</w:t>
            </w:r>
          </w:p>
        </w:tc>
      </w:tr>
      <w:tr>
        <w:trPr>
          <w:trHeight w:val="120" w:hRule="atLeast"/>
        </w:trPr>
        <w:tc>
          <w:tcPr>
            <w:tcW w:w="1651" w:type="dxa"/>
            <w:tcBorders/>
            <w:vAlign w:val="center"/>
          </w:tcPr>
          <w:p>
            <w:pPr>
              <w:pStyle w:val="TableContents"/>
              <w:bidi w:val="0"/>
              <w:spacing w:before="0" w:after="283"/>
              <w:jc w:val="left"/>
              <w:rPr>
                <w:sz w:val="4"/>
                <w:szCs w:val="4"/>
              </w:rPr>
            </w:pPr>
            <w:r>
              <w:rPr>
                <w:sz w:val="4"/>
                <w:szCs w:val="4"/>
              </w:rPr>
            </w:r>
          </w:p>
        </w:tc>
        <w:tc>
          <w:tcPr>
            <w:tcW w:w="8554" w:type="dxa"/>
            <w:gridSpan w:val="2"/>
            <w:tcBorders/>
            <w:vAlign w:val="center"/>
          </w:tcPr>
          <w:p>
            <w:pPr>
              <w:pStyle w:val="TableContents"/>
              <w:bidi w:val="0"/>
              <w:spacing w:before="0" w:after="283"/>
              <w:jc w:val="left"/>
              <w:rPr>
                <w:sz w:val="4"/>
                <w:szCs w:val="4"/>
              </w:rPr>
            </w:pPr>
            <w:r>
              <w:rPr>
                <w:sz w:val="4"/>
                <w:szCs w:val="4"/>
              </w:rPr>
            </w:r>
          </w:p>
        </w:tc>
      </w:tr>
      <w:tr>
        <w:trPr/>
        <w:tc>
          <w:tcPr>
            <w:tcW w:w="1651" w:type="dxa"/>
            <w:tcBorders/>
          </w:tcPr>
          <w:p>
            <w:pPr>
              <w:pStyle w:val="TableContents"/>
              <w:bidi w:val="0"/>
              <w:spacing w:before="0" w:after="283"/>
              <w:jc w:val="left"/>
              <w:rPr/>
            </w:pPr>
            <w:r>
              <w:rPr/>
              <w:t>Annex I</w:t>
            </w:r>
          </w:p>
        </w:tc>
        <w:tc>
          <w:tcPr>
            <w:tcW w:w="123" w:type="dxa"/>
            <w:tcBorders/>
            <w:vAlign w:val="bottom"/>
          </w:tcPr>
          <w:p>
            <w:pPr>
              <w:pStyle w:val="TableContents"/>
              <w:bidi w:val="0"/>
              <w:spacing w:before="0" w:after="283"/>
              <w:jc w:val="left"/>
              <w:rPr/>
            </w:pPr>
            <w:r>
              <w:rPr/>
              <w:t>  </w:t>
            </w:r>
          </w:p>
        </w:tc>
        <w:tc>
          <w:tcPr>
            <w:tcW w:w="8431" w:type="dxa"/>
            <w:tcBorders/>
          </w:tcPr>
          <w:p>
            <w:pPr>
              <w:pStyle w:val="TableContents"/>
              <w:bidi w:val="0"/>
              <w:spacing w:before="0" w:after="283"/>
              <w:jc w:val="left"/>
              <w:rPr/>
            </w:pPr>
            <w:r>
              <w:rPr/>
              <w:t>Accounting Principles</w:t>
            </w:r>
          </w:p>
        </w:tc>
      </w:tr>
      <w:tr>
        <w:trPr/>
        <w:tc>
          <w:tcPr>
            <w:tcW w:w="1651" w:type="dxa"/>
            <w:tcBorders/>
          </w:tcPr>
          <w:p>
            <w:pPr>
              <w:pStyle w:val="TableContents"/>
              <w:bidi w:val="0"/>
              <w:spacing w:before="0" w:after="283"/>
              <w:jc w:val="left"/>
              <w:rPr/>
            </w:pPr>
            <w:r>
              <w:rPr/>
              <w:t>Annex II</w:t>
            </w:r>
          </w:p>
        </w:tc>
        <w:tc>
          <w:tcPr>
            <w:tcW w:w="123" w:type="dxa"/>
            <w:tcBorders/>
            <w:vAlign w:val="bottom"/>
          </w:tcPr>
          <w:p>
            <w:pPr>
              <w:pStyle w:val="TableContents"/>
              <w:bidi w:val="0"/>
              <w:spacing w:before="0" w:after="283"/>
              <w:jc w:val="left"/>
              <w:rPr/>
            </w:pPr>
            <w:r>
              <w:rPr/>
              <w:t>  </w:t>
            </w:r>
          </w:p>
        </w:tc>
        <w:tc>
          <w:tcPr>
            <w:tcW w:w="8431" w:type="dxa"/>
            <w:tcBorders/>
          </w:tcPr>
          <w:p>
            <w:pPr>
              <w:pStyle w:val="TableContents"/>
              <w:bidi w:val="0"/>
              <w:spacing w:before="0" w:after="283"/>
              <w:jc w:val="left"/>
              <w:rPr/>
            </w:pPr>
            <w:r>
              <w:rPr/>
              <w:t>Estimated Closing Statement</w:t>
            </w:r>
          </w:p>
        </w:tc>
      </w:tr>
      <w:tr>
        <w:trPr>
          <w:trHeight w:val="240" w:hRule="atLeast"/>
        </w:trPr>
        <w:tc>
          <w:tcPr>
            <w:tcW w:w="1651" w:type="dxa"/>
            <w:tcBorders/>
            <w:vAlign w:val="center"/>
          </w:tcPr>
          <w:p>
            <w:pPr>
              <w:pStyle w:val="TableContents"/>
              <w:bidi w:val="0"/>
              <w:spacing w:before="0" w:after="283"/>
              <w:jc w:val="left"/>
              <w:rPr>
                <w:sz w:val="4"/>
                <w:szCs w:val="4"/>
              </w:rPr>
            </w:pPr>
            <w:r>
              <w:rPr>
                <w:sz w:val="4"/>
                <w:szCs w:val="4"/>
              </w:rPr>
            </w:r>
          </w:p>
        </w:tc>
        <w:tc>
          <w:tcPr>
            <w:tcW w:w="8554" w:type="dxa"/>
            <w:gridSpan w:val="2"/>
            <w:tcBorders/>
            <w:vAlign w:val="center"/>
          </w:tcPr>
          <w:p>
            <w:pPr>
              <w:pStyle w:val="TableContents"/>
              <w:bidi w:val="0"/>
              <w:spacing w:before="0" w:after="283"/>
              <w:jc w:val="left"/>
              <w:rPr>
                <w:sz w:val="4"/>
                <w:szCs w:val="4"/>
              </w:rPr>
            </w:pPr>
            <w:r>
              <w:rPr>
                <w:sz w:val="4"/>
                <w:szCs w:val="4"/>
              </w:rPr>
            </w:r>
          </w:p>
        </w:tc>
      </w:tr>
      <w:tr>
        <w:trPr/>
        <w:tc>
          <w:tcPr>
            <w:tcW w:w="1651" w:type="dxa"/>
            <w:tcBorders/>
          </w:tcPr>
          <w:p>
            <w:pPr>
              <w:pStyle w:val="TableContents"/>
              <w:bidi w:val="0"/>
              <w:spacing w:before="0" w:after="283"/>
              <w:jc w:val="left"/>
              <w:rPr/>
            </w:pPr>
            <w:r>
              <w:rPr/>
              <w:t>Exhibit A</w:t>
            </w:r>
          </w:p>
        </w:tc>
        <w:tc>
          <w:tcPr>
            <w:tcW w:w="123" w:type="dxa"/>
            <w:tcBorders/>
            <w:vAlign w:val="bottom"/>
          </w:tcPr>
          <w:p>
            <w:pPr>
              <w:pStyle w:val="TableContents"/>
              <w:bidi w:val="0"/>
              <w:spacing w:before="0" w:after="283"/>
              <w:jc w:val="left"/>
              <w:rPr/>
            </w:pPr>
            <w:r>
              <w:rPr/>
              <w:t>  </w:t>
            </w:r>
          </w:p>
        </w:tc>
        <w:tc>
          <w:tcPr>
            <w:tcW w:w="8431" w:type="dxa"/>
            <w:tcBorders/>
          </w:tcPr>
          <w:p>
            <w:pPr>
              <w:pStyle w:val="TableContents"/>
              <w:bidi w:val="0"/>
              <w:spacing w:before="0" w:after="283"/>
              <w:jc w:val="left"/>
              <w:rPr/>
            </w:pPr>
            <w:r>
              <w:rPr/>
              <w:t>A&amp;R Certificate of Formation of the Surviving Company</w:t>
            </w:r>
          </w:p>
        </w:tc>
      </w:tr>
      <w:tr>
        <w:trPr/>
        <w:tc>
          <w:tcPr>
            <w:tcW w:w="1651" w:type="dxa"/>
            <w:tcBorders/>
          </w:tcPr>
          <w:p>
            <w:pPr>
              <w:pStyle w:val="TableContents"/>
              <w:bidi w:val="0"/>
              <w:spacing w:before="0" w:after="283"/>
              <w:jc w:val="left"/>
              <w:rPr/>
            </w:pPr>
            <w:r>
              <w:rPr/>
              <w:t>Exhibit B</w:t>
            </w:r>
          </w:p>
        </w:tc>
        <w:tc>
          <w:tcPr>
            <w:tcW w:w="123" w:type="dxa"/>
            <w:tcBorders/>
            <w:vAlign w:val="bottom"/>
          </w:tcPr>
          <w:p>
            <w:pPr>
              <w:pStyle w:val="TableContents"/>
              <w:bidi w:val="0"/>
              <w:spacing w:before="0" w:after="283"/>
              <w:jc w:val="left"/>
              <w:rPr/>
            </w:pPr>
            <w:r>
              <w:rPr/>
              <w:t>  </w:t>
            </w:r>
          </w:p>
        </w:tc>
        <w:tc>
          <w:tcPr>
            <w:tcW w:w="8431" w:type="dxa"/>
            <w:tcBorders/>
          </w:tcPr>
          <w:p>
            <w:pPr>
              <w:pStyle w:val="TableContents"/>
              <w:bidi w:val="0"/>
              <w:spacing w:before="0" w:after="283"/>
              <w:jc w:val="left"/>
              <w:rPr/>
            </w:pPr>
            <w:r>
              <w:rPr/>
              <w:t>A&amp;R LLC Agreement of the Intermediate Surviving Company</w:t>
            </w:r>
          </w:p>
        </w:tc>
      </w:tr>
      <w:tr>
        <w:trPr/>
        <w:tc>
          <w:tcPr>
            <w:tcW w:w="1651" w:type="dxa"/>
            <w:tcBorders/>
          </w:tcPr>
          <w:p>
            <w:pPr>
              <w:pStyle w:val="TableContents"/>
              <w:bidi w:val="0"/>
              <w:spacing w:before="0" w:after="283"/>
              <w:jc w:val="left"/>
              <w:rPr/>
            </w:pPr>
            <w:r>
              <w:rPr/>
              <w:t>Exhibit C</w:t>
            </w:r>
          </w:p>
        </w:tc>
        <w:tc>
          <w:tcPr>
            <w:tcW w:w="123" w:type="dxa"/>
            <w:tcBorders/>
            <w:vAlign w:val="bottom"/>
          </w:tcPr>
          <w:p>
            <w:pPr>
              <w:pStyle w:val="TableContents"/>
              <w:bidi w:val="0"/>
              <w:spacing w:before="0" w:after="283"/>
              <w:jc w:val="left"/>
              <w:rPr/>
            </w:pPr>
            <w:r>
              <w:rPr/>
              <w:t>  </w:t>
            </w:r>
          </w:p>
        </w:tc>
        <w:tc>
          <w:tcPr>
            <w:tcW w:w="8431" w:type="dxa"/>
            <w:tcBorders/>
          </w:tcPr>
          <w:p>
            <w:pPr>
              <w:pStyle w:val="TableContents"/>
              <w:bidi w:val="0"/>
              <w:spacing w:before="0" w:after="283"/>
              <w:jc w:val="left"/>
              <w:rPr/>
            </w:pPr>
            <w:r>
              <w:rPr/>
              <w:t>Investor Questionnaire</w:t>
            </w:r>
          </w:p>
        </w:tc>
      </w:tr>
      <w:tr>
        <w:trPr/>
        <w:tc>
          <w:tcPr>
            <w:tcW w:w="1651" w:type="dxa"/>
            <w:tcBorders/>
          </w:tcPr>
          <w:p>
            <w:pPr>
              <w:pStyle w:val="TableContents"/>
              <w:bidi w:val="0"/>
              <w:spacing w:before="0" w:after="283"/>
              <w:jc w:val="left"/>
              <w:rPr/>
            </w:pPr>
            <w:r>
              <w:rPr/>
              <w:t>Exhibit D</w:t>
            </w:r>
          </w:p>
        </w:tc>
        <w:tc>
          <w:tcPr>
            <w:tcW w:w="123" w:type="dxa"/>
            <w:tcBorders/>
            <w:vAlign w:val="bottom"/>
          </w:tcPr>
          <w:p>
            <w:pPr>
              <w:pStyle w:val="TableContents"/>
              <w:bidi w:val="0"/>
              <w:spacing w:before="0" w:after="283"/>
              <w:jc w:val="left"/>
              <w:rPr/>
            </w:pPr>
            <w:r>
              <w:rPr/>
              <w:t>  </w:t>
            </w:r>
          </w:p>
        </w:tc>
        <w:tc>
          <w:tcPr>
            <w:tcW w:w="8431" w:type="dxa"/>
            <w:tcBorders/>
          </w:tcPr>
          <w:p>
            <w:pPr>
              <w:pStyle w:val="TableContents"/>
              <w:bidi w:val="0"/>
              <w:spacing w:before="0" w:after="283"/>
              <w:jc w:val="left"/>
              <w:rPr/>
            </w:pPr>
            <w:r>
              <w:rPr/>
              <w:t>[RESERVED]</w:t>
            </w:r>
          </w:p>
        </w:tc>
      </w:tr>
      <w:tr>
        <w:trPr/>
        <w:tc>
          <w:tcPr>
            <w:tcW w:w="1651" w:type="dxa"/>
            <w:tcBorders/>
          </w:tcPr>
          <w:p>
            <w:pPr>
              <w:pStyle w:val="TableContents"/>
              <w:bidi w:val="0"/>
              <w:spacing w:before="0" w:after="283"/>
              <w:jc w:val="left"/>
              <w:rPr/>
            </w:pPr>
            <w:r>
              <w:rPr/>
              <w:t>Exhibit E</w:t>
            </w:r>
          </w:p>
        </w:tc>
        <w:tc>
          <w:tcPr>
            <w:tcW w:w="123" w:type="dxa"/>
            <w:tcBorders/>
            <w:vAlign w:val="bottom"/>
          </w:tcPr>
          <w:p>
            <w:pPr>
              <w:pStyle w:val="TableContents"/>
              <w:bidi w:val="0"/>
              <w:spacing w:before="0" w:after="283"/>
              <w:jc w:val="left"/>
              <w:rPr/>
            </w:pPr>
            <w:r>
              <w:rPr/>
              <w:t>  </w:t>
            </w:r>
          </w:p>
        </w:tc>
        <w:tc>
          <w:tcPr>
            <w:tcW w:w="8431" w:type="dxa"/>
            <w:tcBorders/>
          </w:tcPr>
          <w:p>
            <w:pPr>
              <w:pStyle w:val="TableContents"/>
              <w:bidi w:val="0"/>
              <w:spacing w:before="0" w:after="283"/>
              <w:jc w:val="left"/>
              <w:rPr/>
            </w:pPr>
            <w:r>
              <w:rPr/>
              <w:t>Investor Rights Agreement</w:t>
            </w:r>
          </w:p>
        </w:tc>
      </w:tr>
      <w:tr>
        <w:trPr/>
        <w:tc>
          <w:tcPr>
            <w:tcW w:w="1651" w:type="dxa"/>
            <w:tcBorders/>
          </w:tcPr>
          <w:p>
            <w:pPr>
              <w:pStyle w:val="TableContents"/>
              <w:bidi w:val="0"/>
              <w:spacing w:before="0" w:after="283"/>
              <w:jc w:val="left"/>
              <w:rPr/>
            </w:pPr>
            <w:r>
              <w:rPr/>
              <w:t>Exhibit F</w:t>
            </w:r>
          </w:p>
        </w:tc>
        <w:tc>
          <w:tcPr>
            <w:tcW w:w="123" w:type="dxa"/>
            <w:tcBorders/>
            <w:vAlign w:val="bottom"/>
          </w:tcPr>
          <w:p>
            <w:pPr>
              <w:pStyle w:val="TableContents"/>
              <w:bidi w:val="0"/>
              <w:spacing w:before="0" w:after="283"/>
              <w:jc w:val="left"/>
              <w:rPr/>
            </w:pPr>
            <w:r>
              <w:rPr/>
              <w:t>  </w:t>
            </w:r>
          </w:p>
        </w:tc>
        <w:tc>
          <w:tcPr>
            <w:tcW w:w="8431" w:type="dxa"/>
            <w:tcBorders/>
          </w:tcPr>
          <w:p>
            <w:pPr>
              <w:pStyle w:val="TableContents"/>
              <w:bidi w:val="0"/>
              <w:spacing w:before="0" w:after="283"/>
              <w:jc w:val="left"/>
              <w:rPr/>
            </w:pPr>
            <w:r>
              <w:rPr/>
              <w:t>[RESERVED]</w:t>
            </w:r>
          </w:p>
        </w:tc>
      </w:tr>
      <w:tr>
        <w:trPr/>
        <w:tc>
          <w:tcPr>
            <w:tcW w:w="1651" w:type="dxa"/>
            <w:tcBorders/>
          </w:tcPr>
          <w:p>
            <w:pPr>
              <w:pStyle w:val="TableContents"/>
              <w:bidi w:val="0"/>
              <w:spacing w:before="0" w:after="283"/>
              <w:jc w:val="left"/>
              <w:rPr/>
            </w:pPr>
            <w:r>
              <w:rPr/>
              <w:t>Exhibit G</w:t>
            </w:r>
          </w:p>
        </w:tc>
        <w:tc>
          <w:tcPr>
            <w:tcW w:w="123" w:type="dxa"/>
            <w:tcBorders/>
            <w:vAlign w:val="bottom"/>
          </w:tcPr>
          <w:p>
            <w:pPr>
              <w:pStyle w:val="TableContents"/>
              <w:bidi w:val="0"/>
              <w:spacing w:before="0" w:after="283"/>
              <w:jc w:val="left"/>
              <w:rPr/>
            </w:pPr>
            <w:r>
              <w:rPr/>
              <w:t>  </w:t>
            </w:r>
          </w:p>
        </w:tc>
        <w:tc>
          <w:tcPr>
            <w:tcW w:w="8431" w:type="dxa"/>
            <w:tcBorders/>
          </w:tcPr>
          <w:p>
            <w:pPr>
              <w:pStyle w:val="TableContents"/>
              <w:bidi w:val="0"/>
              <w:spacing w:before="0" w:after="283"/>
              <w:jc w:val="left"/>
              <w:rPr/>
            </w:pPr>
            <w:r>
              <w:rPr/>
              <w:t>Seller Parent Guaranty</w:t>
            </w:r>
          </w:p>
        </w:tc>
      </w:tr>
      <w:tr>
        <w:trPr>
          <w:trHeight w:val="120" w:hRule="atLeast"/>
        </w:trPr>
        <w:tc>
          <w:tcPr>
            <w:tcW w:w="1651" w:type="dxa"/>
            <w:tcBorders/>
            <w:vAlign w:val="center"/>
          </w:tcPr>
          <w:p>
            <w:pPr>
              <w:pStyle w:val="TableContents"/>
              <w:bidi w:val="0"/>
              <w:spacing w:before="0" w:after="283"/>
              <w:jc w:val="left"/>
              <w:rPr>
                <w:sz w:val="4"/>
                <w:szCs w:val="4"/>
              </w:rPr>
            </w:pPr>
            <w:r>
              <w:rPr>
                <w:sz w:val="4"/>
                <w:szCs w:val="4"/>
              </w:rPr>
            </w:r>
          </w:p>
        </w:tc>
        <w:tc>
          <w:tcPr>
            <w:tcW w:w="8554" w:type="dxa"/>
            <w:gridSpan w:val="2"/>
            <w:tcBorders/>
            <w:vAlign w:val="center"/>
          </w:tcPr>
          <w:p>
            <w:pPr>
              <w:pStyle w:val="TableContents"/>
              <w:bidi w:val="0"/>
              <w:spacing w:before="0" w:after="283"/>
              <w:jc w:val="left"/>
              <w:rPr>
                <w:sz w:val="4"/>
                <w:szCs w:val="4"/>
              </w:rPr>
            </w:pPr>
            <w:r>
              <w:rPr>
                <w:sz w:val="4"/>
                <w:szCs w:val="4"/>
              </w:rPr>
            </w:r>
          </w:p>
        </w:tc>
      </w:tr>
      <w:tr>
        <w:trPr/>
        <w:tc>
          <w:tcPr>
            <w:tcW w:w="1651" w:type="dxa"/>
            <w:tcBorders/>
          </w:tcPr>
          <w:p>
            <w:pPr>
              <w:pStyle w:val="TableContents"/>
              <w:bidi w:val="0"/>
              <w:spacing w:before="0" w:after="283"/>
              <w:jc w:val="left"/>
              <w:rPr/>
            </w:pPr>
            <w:r>
              <w:rPr/>
              <w:t>Schedule 6.12</w:t>
            </w:r>
          </w:p>
        </w:tc>
        <w:tc>
          <w:tcPr>
            <w:tcW w:w="123" w:type="dxa"/>
            <w:tcBorders/>
            <w:vAlign w:val="bottom"/>
          </w:tcPr>
          <w:p>
            <w:pPr>
              <w:pStyle w:val="TableContents"/>
              <w:bidi w:val="0"/>
              <w:spacing w:before="0" w:after="283"/>
              <w:jc w:val="left"/>
              <w:rPr/>
            </w:pPr>
            <w:r>
              <w:rPr/>
              <w:t>  </w:t>
            </w:r>
          </w:p>
        </w:tc>
        <w:tc>
          <w:tcPr>
            <w:tcW w:w="8431" w:type="dxa"/>
            <w:tcBorders/>
          </w:tcPr>
          <w:p>
            <w:pPr>
              <w:pStyle w:val="TableContents"/>
              <w:bidi w:val="0"/>
              <w:spacing w:before="0" w:after="283"/>
              <w:jc w:val="left"/>
              <w:rPr/>
            </w:pPr>
            <w:r>
              <w:rPr/>
              <w:t>Employee Matters</w:t>
            </w:r>
          </w:p>
        </w:tc>
      </w:tr>
      <w:tr>
        <w:trPr/>
        <w:tc>
          <w:tcPr>
            <w:tcW w:w="1651" w:type="dxa"/>
            <w:tcBorders/>
          </w:tcPr>
          <w:p>
            <w:pPr>
              <w:pStyle w:val="TableContents"/>
              <w:bidi w:val="0"/>
              <w:spacing w:before="0" w:after="283"/>
              <w:jc w:val="left"/>
              <w:rPr/>
            </w:pPr>
            <w:r>
              <w:rPr/>
              <w:t>Schedule 6.13</w:t>
            </w:r>
          </w:p>
        </w:tc>
        <w:tc>
          <w:tcPr>
            <w:tcW w:w="123" w:type="dxa"/>
            <w:tcBorders/>
            <w:vAlign w:val="bottom"/>
          </w:tcPr>
          <w:p>
            <w:pPr>
              <w:pStyle w:val="TableContents"/>
              <w:bidi w:val="0"/>
              <w:spacing w:before="0" w:after="283"/>
              <w:jc w:val="left"/>
              <w:rPr/>
            </w:pPr>
            <w:r>
              <w:rPr/>
              <w:t>  </w:t>
            </w:r>
          </w:p>
        </w:tc>
        <w:tc>
          <w:tcPr>
            <w:tcW w:w="8431" w:type="dxa"/>
            <w:tcBorders/>
          </w:tcPr>
          <w:p>
            <w:pPr>
              <w:pStyle w:val="TableContents"/>
              <w:bidi w:val="0"/>
              <w:spacing w:before="0" w:after="283"/>
              <w:jc w:val="left"/>
              <w:rPr/>
            </w:pPr>
            <w:r>
              <w:rPr/>
              <w:t>Shared Contracts</w:t>
            </w:r>
          </w:p>
        </w:tc>
      </w:tr>
      <w:tr>
        <w:trPr/>
        <w:tc>
          <w:tcPr>
            <w:tcW w:w="1651" w:type="dxa"/>
            <w:tcBorders/>
          </w:tcPr>
          <w:p>
            <w:pPr>
              <w:pStyle w:val="TableContents"/>
              <w:bidi w:val="0"/>
              <w:spacing w:before="0" w:after="283"/>
              <w:jc w:val="left"/>
              <w:rPr/>
            </w:pPr>
            <w:r>
              <w:rPr/>
              <w:t>Schedule 6.15</w:t>
            </w:r>
          </w:p>
        </w:tc>
        <w:tc>
          <w:tcPr>
            <w:tcW w:w="123" w:type="dxa"/>
            <w:tcBorders/>
            <w:vAlign w:val="bottom"/>
          </w:tcPr>
          <w:p>
            <w:pPr>
              <w:pStyle w:val="TableContents"/>
              <w:bidi w:val="0"/>
              <w:spacing w:before="0" w:after="283"/>
              <w:jc w:val="left"/>
              <w:rPr/>
            </w:pPr>
            <w:r>
              <w:rPr/>
              <w:t>  </w:t>
            </w:r>
          </w:p>
        </w:tc>
        <w:tc>
          <w:tcPr>
            <w:tcW w:w="8431" w:type="dxa"/>
            <w:tcBorders/>
          </w:tcPr>
          <w:p>
            <w:pPr>
              <w:pStyle w:val="TableContents"/>
              <w:bidi w:val="0"/>
              <w:spacing w:before="0" w:after="283"/>
              <w:jc w:val="left"/>
              <w:rPr/>
            </w:pPr>
            <w:r>
              <w:rPr/>
              <w:t>Leaseback Agreement</w:t>
            </w:r>
          </w:p>
        </w:tc>
      </w:tr>
      <w:tr>
        <w:trPr/>
        <w:tc>
          <w:tcPr>
            <w:tcW w:w="1651" w:type="dxa"/>
            <w:tcBorders/>
          </w:tcPr>
          <w:p>
            <w:pPr>
              <w:pStyle w:val="TableContents"/>
              <w:bidi w:val="0"/>
              <w:spacing w:before="0" w:after="283"/>
              <w:jc w:val="left"/>
              <w:rPr/>
            </w:pPr>
            <w:r>
              <w:rPr/>
              <w:t>Schedule 8.02</w:t>
            </w:r>
          </w:p>
        </w:tc>
        <w:tc>
          <w:tcPr>
            <w:tcW w:w="123" w:type="dxa"/>
            <w:tcBorders/>
            <w:vAlign w:val="bottom"/>
          </w:tcPr>
          <w:p>
            <w:pPr>
              <w:pStyle w:val="TableContents"/>
              <w:bidi w:val="0"/>
              <w:spacing w:before="0" w:after="283"/>
              <w:jc w:val="left"/>
              <w:rPr/>
            </w:pPr>
            <w:r>
              <w:rPr/>
              <w:t>  </w:t>
            </w:r>
          </w:p>
        </w:tc>
        <w:tc>
          <w:tcPr>
            <w:tcW w:w="8431" w:type="dxa"/>
            <w:tcBorders/>
          </w:tcPr>
          <w:p>
            <w:pPr>
              <w:pStyle w:val="TableContents"/>
              <w:bidi w:val="0"/>
              <w:spacing w:before="0" w:after="283"/>
              <w:jc w:val="left"/>
              <w:rPr/>
            </w:pPr>
            <w:r>
              <w:rPr/>
              <w:t>Specified Matters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b/>
          <w:sz w:val="20"/>
        </w:rPr>
        <w:t>THIS AGREEMENT AND PLAN OF MERGER</w:t>
      </w:r>
      <w:r>
        <w:rPr>
          <w:rFonts w:ascii="Times New Roman" w:hAnsi="Times New Roman"/>
          <w:sz w:val="20"/>
        </w:rPr>
        <w:t>, dated October 21, 2026 (this “</w:t>
      </w:r>
      <w:r>
        <w:rPr>
          <w:rFonts w:ascii="Times New Roman" w:hAnsi="Times New Roman"/>
          <w:sz w:val="20"/>
          <w:u w:val="single"/>
        </w:rPr>
        <w:t>Agreement</w:t>
      </w:r>
      <w:r>
        <w:rPr>
          <w:rFonts w:ascii="Times New Roman" w:hAnsi="Times New Roman"/>
          <w:sz w:val="20"/>
        </w:rPr>
        <w:t xml:space="preserve">”), is by and among </w:t>
      </w:r>
      <w:r>
        <w:rPr>
          <w:rFonts w:ascii="Times New Roman" w:hAnsi="Times New Roman"/>
          <w:b/>
          <w:sz w:val="20"/>
        </w:rPr>
        <w:t>SMITH</w:t>
      </w:r>
      <w:r>
        <w:rPr>
          <w:rFonts w:ascii="Times New Roman" w:hAnsi="Times New Roman"/>
          <w:sz w:val="20"/>
        </w:rPr>
        <w:t> </w:t>
      </w:r>
      <w:r>
        <w:rPr>
          <w:rFonts w:ascii="Times New Roman" w:hAnsi="Times New Roman"/>
          <w:b/>
          <w:sz w:val="20"/>
        </w:rPr>
        <w:t>&amp; WESSON BRANDS, INC.</w:t>
      </w:r>
      <w:r>
        <w:rPr>
          <w:rFonts w:ascii="Times New Roman" w:hAnsi="Times New Roman"/>
          <w:sz w:val="20"/>
        </w:rPr>
        <w:t>, a Nevada corporation (“</w:t>
      </w:r>
      <w:r>
        <w:rPr>
          <w:rFonts w:ascii="Times New Roman" w:hAnsi="Times New Roman"/>
          <w:sz w:val="20"/>
          <w:u w:val="single"/>
        </w:rPr>
        <w:t>Parent</w:t>
      </w:r>
      <w:r>
        <w:rPr>
          <w:rFonts w:ascii="Times New Roman" w:hAnsi="Times New Roman"/>
          <w:sz w:val="20"/>
        </w:rPr>
        <w:t xml:space="preserve">”), </w:t>
      </w:r>
      <w:r>
        <w:rPr>
          <w:rFonts w:ascii="Times New Roman" w:hAnsi="Times New Roman"/>
          <w:b/>
          <w:sz w:val="20"/>
        </w:rPr>
        <w:t>TRISTAR MERGER SUB, LLC</w:t>
      </w:r>
      <w:r>
        <w:rPr>
          <w:rFonts w:ascii="Times New Roman" w:hAnsi="Times New Roman"/>
          <w:sz w:val="20"/>
        </w:rPr>
        <w:t>, a Delaware limited liability company and wholly owned Subsidiary of Parent (“</w:t>
      </w:r>
      <w:r>
        <w:rPr>
          <w:rFonts w:ascii="Times New Roman" w:hAnsi="Times New Roman"/>
          <w:sz w:val="20"/>
          <w:u w:val="single"/>
        </w:rPr>
        <w:t>Merger Sub</w:t>
      </w:r>
      <w:r>
        <w:rPr>
          <w:rFonts w:ascii="Times New Roman" w:hAnsi="Times New Roman"/>
          <w:sz w:val="20"/>
        </w:rPr>
        <w:t xml:space="preserve">”), </w:t>
      </w:r>
      <w:r>
        <w:rPr>
          <w:rFonts w:ascii="Times New Roman" w:hAnsi="Times New Roman"/>
          <w:b/>
          <w:sz w:val="20"/>
        </w:rPr>
        <w:t>LONG RANGE INTERMEDIATE LLC</w:t>
      </w:r>
      <w:r>
        <w:rPr>
          <w:rFonts w:ascii="Times New Roman" w:hAnsi="Times New Roman"/>
          <w:sz w:val="20"/>
        </w:rPr>
        <w:t>, a Delaware limited liability company (the “</w:t>
      </w:r>
      <w:r>
        <w:rPr>
          <w:rFonts w:ascii="Times New Roman" w:hAnsi="Times New Roman"/>
          <w:sz w:val="20"/>
          <w:u w:val="single"/>
        </w:rPr>
        <w:t>Company</w:t>
      </w:r>
      <w:r>
        <w:rPr>
          <w:rFonts w:ascii="Times New Roman" w:hAnsi="Times New Roman"/>
          <w:sz w:val="20"/>
        </w:rPr>
        <w:t xml:space="preserve">”), and </w:t>
      </w:r>
      <w:r>
        <w:rPr>
          <w:rFonts w:ascii="Times New Roman" w:hAnsi="Times New Roman"/>
          <w:b/>
          <w:sz w:val="20"/>
        </w:rPr>
        <w:t>SAVARMS, L.P.</w:t>
      </w:r>
      <w:r>
        <w:rPr>
          <w:rFonts w:ascii="Times New Roman" w:hAnsi="Times New Roman"/>
          <w:sz w:val="20"/>
        </w:rPr>
        <w:t>, a Texas limited partnership (“</w:t>
      </w:r>
      <w:r>
        <w:rPr>
          <w:rFonts w:ascii="Times New Roman" w:hAnsi="Times New Roman"/>
          <w:sz w:val="20"/>
          <w:u w:val="single"/>
        </w:rPr>
        <w:t>Seller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Boards of Directors or other governing bodies, as applicable, of each of Parent, Merger Sub, Seller, and the Company have unanimously approved and declared advisable this Agreement, the merger of Merger Sub with and into the Company, with the Company surviving (the “</w:t>
      </w:r>
      <w:r>
        <w:rPr>
          <w:rFonts w:ascii="Times New Roman" w:hAnsi="Times New Roman"/>
          <w:sz w:val="20"/>
          <w:u w:val="single"/>
        </w:rPr>
        <w:t>First Step Merger</w:t>
      </w:r>
      <w:r>
        <w:rPr>
          <w:rFonts w:ascii="Times New Roman" w:hAnsi="Times New Roman"/>
          <w:sz w:val="20"/>
        </w:rPr>
        <w:t>”), and, immediately thereafter and as part of an integrated plan, the merger of the Company with and into Parent, with Parent surviving (the “</w:t>
      </w:r>
      <w:r>
        <w:rPr>
          <w:rFonts w:ascii="Times New Roman" w:hAnsi="Times New Roman"/>
          <w:sz w:val="20"/>
          <w:u w:val="single"/>
        </w:rPr>
        <w:t>Second Step Merger</w:t>
      </w:r>
      <w:r>
        <w:rPr>
          <w:rFonts w:ascii="Times New Roman" w:hAnsi="Times New Roman"/>
          <w:sz w:val="20"/>
        </w:rPr>
        <w:t>” and, together with the First Step Merger, the “</w:t>
      </w:r>
      <w:r>
        <w:rPr>
          <w:rFonts w:ascii="Times New Roman" w:hAnsi="Times New Roman"/>
          <w:sz w:val="20"/>
          <w:u w:val="single"/>
        </w:rPr>
        <w:t>Mergers</w:t>
      </w:r>
      <w:r>
        <w:rPr>
          <w:rFonts w:ascii="Times New Roman" w:hAnsi="Times New Roman"/>
          <w:sz w:val="20"/>
        </w:rPr>
        <w:t xml:space="preserve">”), and the other Transactions, upon the terms and subject to the conditions set forth in this Agreement and in accordance with applicable Law;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Seller owns all of the issued and outstanding units of membership interest in the Company (the “</w:t>
      </w:r>
      <w:r>
        <w:rPr>
          <w:rFonts w:ascii="Times New Roman" w:hAnsi="Times New Roman"/>
          <w:sz w:val="20"/>
          <w:u w:val="single"/>
        </w:rPr>
        <w:t>Company Units</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Parties intend that, as consideration for the Merger, each Company Unit issued and outstanding immediately prior to the First Effective Time shall be converted into the right to receive the Merger Consideration;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for U.S. federal income tax purposes, it is intended that (a) the Mergers, taken together, constitute an integrated plan and qualify as a “reorganization” within the meaning of Section 368(a) of the Code, and (b) this Agreement constitute and be adopted as a “plan of reorganization” within the meaning of Sections 1.368-2(g) and 1.368-3(a) of the Treasury Regulations;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on October 20, 2026, (a) Savarms Holdings, LLC, a Delaware limited liability company and wholly owned Subsidiary of Seller (“</w:t>
      </w:r>
      <w:r>
        <w:rPr>
          <w:rFonts w:ascii="Times New Roman" w:hAnsi="Times New Roman"/>
          <w:sz w:val="20"/>
          <w:u w:val="single"/>
        </w:rPr>
        <w:t>Savarms Holdings</w:t>
      </w:r>
      <w:r>
        <w:rPr>
          <w:rFonts w:ascii="Times New Roman" w:hAnsi="Times New Roman"/>
          <w:sz w:val="20"/>
        </w:rPr>
        <w:t>”), merged with and into Seller pursuant to certificates of merger filed with the Secretary of State of the State of Texas and the Secretary of State of the State of Delaware, respectively (the “</w:t>
      </w:r>
      <w:r>
        <w:rPr>
          <w:rFonts w:ascii="Times New Roman" w:hAnsi="Times New Roman"/>
          <w:sz w:val="20"/>
          <w:u w:val="single"/>
        </w:rPr>
        <w:t>Savarms Merger</w:t>
      </w:r>
      <w:r>
        <w:rPr>
          <w:rFonts w:ascii="Times New Roman" w:hAnsi="Times New Roman"/>
          <w:sz w:val="20"/>
        </w:rPr>
        <w:t xml:space="preserve">”), and (b) as a result of the Savarms Merger, the separate existence of Savarms Holdings ceased and Seller continued as the surviving limited partnership;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prior to the execution of this Agreement, Seller and the Company Group completed certain internal transactions pursuant to which (a) Ludus Indemnity, Inc. and its business were separated from, and ceased to be a Subsidiary of, the Company, such that neither Ludus Indemnity, Inc. nor its business, assets or Liabilities form part of the Company Group or the Transactions, as more fully described in that certain Assignment and Assumption Agreement, dated as of October 20, 2026, by and among Seller and the Company, and (b) the Company Group assigned and transferred to Seller or one or more of its Affiliates (other than the Company Group) certain antique firearms (“</w:t>
      </w:r>
      <w:r>
        <w:rPr>
          <w:rFonts w:ascii="Times New Roman" w:hAnsi="Times New Roman"/>
          <w:sz w:val="20"/>
          <w:u w:val="single"/>
        </w:rPr>
        <w:t>Antique Firearms</w:t>
      </w:r>
      <w:r>
        <w:rPr>
          <w:rFonts w:ascii="Times New Roman" w:hAnsi="Times New Roman"/>
          <w:sz w:val="20"/>
        </w:rPr>
        <w:t>”), as more fully described in that certain Assignment and Assumption Agreement, dated as of October 20, 2026, by and among Savage Arms, Inc. and Hilcorp Investments, L.P. (together, the “</w:t>
      </w:r>
      <w:r>
        <w:rPr>
          <w:rFonts w:ascii="Times New Roman" w:hAnsi="Times New Roman"/>
          <w:sz w:val="20"/>
          <w:u w:val="single"/>
        </w:rPr>
        <w:t>Pre-Closing Restructuring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NOW</w:t>
      </w:r>
      <w:r>
        <w:rPr>
          <w:rFonts w:ascii="Times New Roman" w:hAnsi="Times New Roman"/>
          <w:sz w:val="20"/>
        </w:rPr>
        <w:t xml:space="preserve">, </w:t>
      </w:r>
      <w:r>
        <w:rPr>
          <w:rFonts w:ascii="Times New Roman" w:hAnsi="Times New Roman"/>
          <w:b/>
          <w:sz w:val="20"/>
        </w:rPr>
        <w:t>THEREFORE</w:t>
      </w:r>
      <w:r>
        <w:rPr>
          <w:rFonts w:ascii="Times New Roman" w:hAnsi="Times New Roman"/>
          <w:sz w:val="20"/>
        </w:rPr>
        <w:t xml:space="preserve">, in consideration of the premises and the mutual promises, representations, warranties, and covenants herein contained, the sufficiency of which is hereby acknowledged and agreed, the Parties hereby agree as follows: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THE MERGER; CLOSING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The Merger</w:t>
      </w:r>
      <w:r>
        <w:rPr>
          <w:rFonts w:ascii="Times New Roman" w:hAnsi="Times New Roman"/>
          <w:sz w:val="20"/>
        </w:rPr>
        <w:t>. Upon the terms set forth in this Agreement and in accordance with the DLLC Act and the Laws of the State of Nevada, as applicable, (a) at the First Effective Time, Merger Sub shall be merged with and into the Company in the First Step Merger. As a result of the First Step Merger, the separate existence of Merger Sub shall cease and the Company shall continue as the surviving limited liability company (the “</w:t>
      </w:r>
      <w:r>
        <w:rPr>
          <w:rFonts w:ascii="Times New Roman" w:hAnsi="Times New Roman"/>
          <w:sz w:val="20"/>
          <w:u w:val="single"/>
        </w:rPr>
        <w:t>Intermediate Surviving Company</w:t>
      </w:r>
      <w:r>
        <w:rPr>
          <w:rFonts w:ascii="Times New Roman" w:hAnsi="Times New Roman"/>
          <w:sz w:val="20"/>
        </w:rPr>
        <w:t>”) and shall continue its existence under the DLLC Act as a wholly owned Subsidiary of Parent. Immediately after the First Step Merger, and as part of an integrated plan, the Intermediate Surviving Company shall be merged with and into Parent in the Second Step Merger. As a result of the Second Step Merger, the separate existence of the Intermediate Surviving Company shall cease and Parent shall continue as the surviving corporation (the “</w:t>
      </w:r>
      <w:r>
        <w:rPr>
          <w:rFonts w:ascii="Times New Roman" w:hAnsi="Times New Roman"/>
          <w:sz w:val="20"/>
          <w:u w:val="single"/>
        </w:rPr>
        <w:t>Surviving Company</w:t>
      </w:r>
      <w:r>
        <w:rPr>
          <w:rFonts w:ascii="Times New Roman" w:hAnsi="Times New Roman"/>
          <w:sz w:val="20"/>
        </w:rPr>
        <w:t xml:space="preserve">”) and shall continue its existence under the Laws of the State of Nevada. The First Step Merger and the Second Step Merger shall have the effects set forth herein and in the applicable provisions of the DLLC Act and the Laws of the State of Nevada, as applicable. Without limiting the generality of the foregoing, and subject thereto, at the First Effective Time all the property, rights, privileges, powers and franchises of the Company and Merger Sub shall vest in the Intermediate Surviving Company, and all Liabilities and duties of the Company and Merger Sub shall become the Liabilities and duties of the Intermediate Surviving Company; and at the Second Effective Time all the property, rights, privileges, powers and franchises of the Intermediate Surviving Company shall vest in the Surviving Company, and all Liabilities and duties of the Intermediate Surviving Company shall become the Liabilities and duties of the Surviving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Closing</w:t>
      </w:r>
      <w:r>
        <w:rPr>
          <w:rFonts w:ascii="Times New Roman" w:hAnsi="Times New Roman"/>
          <w:sz w:val="20"/>
        </w:rPr>
        <w:t>. The closing of the Merger (the “</w:t>
      </w:r>
      <w:r>
        <w:rPr>
          <w:rFonts w:ascii="Times New Roman" w:hAnsi="Times New Roman"/>
          <w:sz w:val="20"/>
          <w:u w:val="single"/>
        </w:rPr>
        <w:t>Closing</w:t>
      </w:r>
      <w:r>
        <w:rPr>
          <w:rFonts w:ascii="Times New Roman" w:hAnsi="Times New Roman"/>
          <w:sz w:val="20"/>
        </w:rPr>
        <w:t>”) shall take place remotely by exchange of documents and signatures (or their electronic counterparts) at 10:00 a.m. prevailing Central time on the date hereof (the “</w:t>
      </w:r>
      <w:r>
        <w:rPr>
          <w:rFonts w:ascii="Times New Roman" w:hAnsi="Times New Roman"/>
          <w:sz w:val="20"/>
          <w:u w:val="single"/>
        </w:rPr>
        <w:t>Closing Date</w:t>
      </w:r>
      <w:r>
        <w:rPr>
          <w:rFonts w:ascii="Times New Roman" w:hAnsi="Times New Roman"/>
          <w:sz w:val="20"/>
        </w:rPr>
        <w:t xml:space="preserve">”), or such other time as agreed by the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Effective Time</w:t>
      </w:r>
      <w:r>
        <w:rPr>
          <w:rFonts w:ascii="Times New Roman" w:hAnsi="Times New Roman"/>
          <w:sz w:val="20"/>
        </w:rPr>
        <w:t>. Subject to the terms and conditions of this Agreement, as promptly as practicable on the Closing Date, (a) the Company shall file a certificate of merger (the “</w:t>
      </w:r>
      <w:r>
        <w:rPr>
          <w:rFonts w:ascii="Times New Roman" w:hAnsi="Times New Roman"/>
          <w:sz w:val="20"/>
          <w:u w:val="single"/>
        </w:rPr>
        <w:t>First Certificate of Merger</w:t>
      </w:r>
      <w:r>
        <w:rPr>
          <w:rFonts w:ascii="Times New Roman" w:hAnsi="Times New Roman"/>
          <w:sz w:val="20"/>
        </w:rPr>
        <w:t>”) with the Secretary of State of the State of Delaware executed in accordance with, and in such form as is required by, the relevant provisions of the DLLC Act, and shall make all other filings or recordings required under the DLLC Act in connection with the First Step Merger. The First Step Merger shall become effective at the time the First Certificate of Merger is duly filed with the Secretary of State of the State of Delaware, or at such later time as the Company and Parent shall agree and specify in the First Certificate of Merger in accordance with the DLLC Act (the “</w:t>
      </w:r>
      <w:r>
        <w:rPr>
          <w:rFonts w:ascii="Times New Roman" w:hAnsi="Times New Roman"/>
          <w:sz w:val="20"/>
          <w:u w:val="single"/>
        </w:rPr>
        <w:t>First Effective Time</w:t>
      </w:r>
      <w:r>
        <w:rPr>
          <w:rFonts w:ascii="Times New Roman" w:hAnsi="Times New Roman"/>
          <w:sz w:val="20"/>
        </w:rPr>
        <w:t>”), and (b) immediately thereafter, Parent shall file the certificates or articles of merger required to effect the Second Step Merger (the “</w:t>
      </w:r>
      <w:r>
        <w:rPr>
          <w:rFonts w:ascii="Times New Roman" w:hAnsi="Times New Roman"/>
          <w:sz w:val="20"/>
          <w:u w:val="single"/>
        </w:rPr>
        <w:t>Second Certificates of Merger</w:t>
      </w:r>
      <w:r>
        <w:rPr>
          <w:rFonts w:ascii="Times New Roman" w:hAnsi="Times New Roman"/>
          <w:sz w:val="20"/>
        </w:rPr>
        <w:t>”) with the Secretary of State of the State of Nevada and the Secretary of State of the State of Delaware and shall make all other filings or recordings required under applicable Law in connection with the Second Step Merger. The Second Step Merger shall become effective at the later of the time the applicable certificates or articles of merger are duly filed with the Secretary of State of the State of Nevada and the Secretary of State of the State of Delaware, or at such later time as Parent and the Company shall agree and specify in such certificates or articles of merger in accordance with applicable Law (the “</w:t>
      </w:r>
      <w:r>
        <w:rPr>
          <w:rFonts w:ascii="Times New Roman" w:hAnsi="Times New Roman"/>
          <w:sz w:val="20"/>
          <w:u w:val="single"/>
        </w:rPr>
        <w:t>Second Effective Time</w:t>
      </w:r>
      <w:r>
        <w:rPr>
          <w:rFonts w:ascii="Times New Roman" w:hAnsi="Times New Roman"/>
          <w:sz w:val="20"/>
        </w:rPr>
        <w:t>”). References to the “</w:t>
      </w:r>
      <w:r>
        <w:rPr>
          <w:rFonts w:ascii="Times New Roman" w:hAnsi="Times New Roman"/>
          <w:sz w:val="20"/>
          <w:u w:val="single"/>
        </w:rPr>
        <w:t>Effective Time</w:t>
      </w:r>
      <w:r>
        <w:rPr>
          <w:rFonts w:ascii="Times New Roman" w:hAnsi="Times New Roman"/>
          <w:sz w:val="20"/>
        </w:rPr>
        <w:t xml:space="preserve">” in this Agreement without further qualification shall refer to the Second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Organizational Documents of the Surviving Entities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the First Effective Time, the certificate of formation of the Company, as in effect immediately prior to the First Effective Time, shall, by virtue of the First Step Merger, be amended and restated in its entirety, in the form set forth in </w:t>
      </w:r>
      <w:r>
        <w:rPr>
          <w:rFonts w:ascii="Times New Roman" w:hAnsi="Times New Roman"/>
          <w:sz w:val="20"/>
          <w:u w:val="single"/>
        </w:rPr>
        <w:t>Exhibit A</w:t>
      </w:r>
      <w:r>
        <w:rPr>
          <w:rFonts w:ascii="Times New Roman" w:hAnsi="Times New Roman"/>
          <w:sz w:val="20"/>
        </w:rPr>
        <w:t xml:space="preserve">, and as so amended and restated shall be the certificate of formation of the Intermediate Surviving Company until the Second Effective Time. At the Second Effective Time, the articles of incorporation of Parent, as in effect immediately prior to the Second Effective Time, shall be the articles of incorporation of the Surviving Company until thereafter changed or amended as provided therein or by applicable Law. Each of the Company, Merger Sub and Parent shall take all action necessary to carry out the actions contemplated by this </w:t>
      </w:r>
      <w:r>
        <w:rPr>
          <w:rFonts w:ascii="Times New Roman" w:hAnsi="Times New Roman"/>
          <w:sz w:val="20"/>
          <w:u w:val="single"/>
        </w:rPr>
        <w:t>Section 1.04(a)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limited liability company agreement of the Company, as in effect immediately prior to the First Effective Time, shall, by virtue of the First Step Merger, be amended and restated in its entirety, in the form set forth in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sz w:val="20"/>
          <w:u w:val="single"/>
        </w:rPr>
        <w:t>Intermediate Surviving Company LLC Agreement</w:t>
      </w:r>
      <w:r>
        <w:rPr>
          <w:rFonts w:ascii="Times New Roman" w:hAnsi="Times New Roman"/>
          <w:sz w:val="20"/>
        </w:rPr>
        <w:t xml:space="preserve">”), and as so amended and restated shall be the limited liability company agreement of the Intermediate Surviving Company, until the Second Effective Time. The bylaws of Parent, as in effect immediately prior to the Second Effective Time, shall be the bylaws of the Surviving Company until thereafter changed or amended as provided therein or by applicable Law. Each of the Company, Merger Sub and Parent shall take all action necessary to carry out the actions contemplated by this </w:t>
      </w:r>
      <w:r>
        <w:rPr>
          <w:rFonts w:ascii="Times New Roman" w:hAnsi="Times New Roman"/>
          <w:sz w:val="20"/>
          <w:u w:val="single"/>
        </w:rPr>
        <w:t>Section 1.04(b)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Managers, Directors and Officers of the Surviving Company</w:t>
      </w:r>
      <w:r>
        <w:rPr>
          <w:rFonts w:ascii="Times New Roman" w:hAnsi="Times New Roman"/>
          <w:sz w:val="20"/>
        </w:rPr>
        <w:t xml:space="preserve">. Subject to Sections 1.1 and 1.2 of the Investor Rights Agreement, the directors or managers, as the case may be, of Parent immediately prior to the Effective Time shall continue to be the directors or managers, as the case may be, of the Surviving Company, in each case until the earlier of their resignation or removal or until their respective successors are duly elected and qualified, as the case may be. The officers of Parent immediately prior to the Effective Time shall continue to be the officers of the Surviving Company, in each case until the earlier of their resignation or removal or until their respective successors are duly elected or appointed and qualified, as the case may be. Each of the Company, Merger Sub and Parent shall take all action necessary to implement the provisions of this </w:t>
      </w:r>
      <w:r>
        <w:rPr>
          <w:rFonts w:ascii="Times New Roman" w:hAnsi="Times New Roman"/>
          <w:sz w:val="20"/>
          <w:u w:val="single"/>
        </w:rPr>
        <w:t>Section 1.05</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CONVERSION OF MEMBERSHIP INTERESTS; EXCHANGE OF CERTIFICATES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Effect on Interests and Units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the Effective Time, by virtue of the Merger and without any action on the part of any Person, upon the terms and subject to the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Conversion of Merger Sub Interests</w:t>
      </w:r>
      <w:r>
        <w:rPr>
          <w:rFonts w:ascii="Times New Roman" w:hAnsi="Times New Roman"/>
          <w:sz w:val="20"/>
        </w:rPr>
        <w:t xml:space="preserve">. Each membership interest in Merger Sub issued and outstanding immediately prior to the First Effective Time shall be converted into membership interests in the Intermediate Surviving Company, as such membership interests are provided for by the Intermediate Surviving Company LLC Agreement.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Cancellation of Certain Interests of the Company</w:t>
      </w:r>
      <w:r>
        <w:rPr>
          <w:rFonts w:ascii="Times New Roman" w:hAnsi="Times New Roman"/>
          <w:sz w:val="20"/>
        </w:rPr>
        <w:t xml:space="preserve">. All units of membership interest in the Company that are owned by the Company or any of its Subsidiaries (in each case, if any) immediately prior to the First Effective Time shall no longer be outstanding and shall be canceled and shall cease to exist, and no consideration shall be delivered in exchange therefor.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Conversion of Company Units</w:t>
      </w:r>
      <w:r>
        <w:rPr>
          <w:rFonts w:ascii="Times New Roman" w:hAnsi="Times New Roman"/>
          <w:sz w:val="20"/>
        </w:rPr>
        <w:t xml:space="preserve">. Subject to </w:t>
      </w:r>
      <w:r>
        <w:rPr>
          <w:rFonts w:ascii="Times New Roman" w:hAnsi="Times New Roman"/>
          <w:sz w:val="20"/>
          <w:u w:val="single"/>
        </w:rPr>
        <w:t>Section 2.03(b)</w:t>
      </w:r>
      <w:r>
        <w:rPr>
          <w:rFonts w:ascii="Times New Roman" w:hAnsi="Times New Roman"/>
          <w:sz w:val="20"/>
        </w:rPr>
        <w:t xml:space="preserve">, all Company Units issued and outstanding immediately prior to the First Effective Time (other than any units or interests to be canceled in accordance with </w:t>
      </w:r>
      <w:r>
        <w:rPr>
          <w:rFonts w:ascii="Times New Roman" w:hAnsi="Times New Roman"/>
          <w:sz w:val="20"/>
          <w:u w:val="single"/>
        </w:rPr>
        <w:t>Section 2.01(a)(ii)</w:t>
      </w:r>
      <w:r>
        <w:rPr>
          <w:rFonts w:ascii="Times New Roman" w:hAnsi="Times New Roman"/>
          <w:sz w:val="20"/>
        </w:rPr>
        <w:t xml:space="preserve">) shall be converted into the right to receive the Merger Consideration, subject to adjustment pursuant to </w:t>
      </w:r>
      <w:r>
        <w:rPr>
          <w:rFonts w:ascii="Times New Roman" w:hAnsi="Times New Roman"/>
          <w:sz w:val="20"/>
          <w:u w:val="single"/>
        </w:rPr>
        <w:t>Section 2.05</w:t>
      </w:r>
      <w:r>
        <w:rPr>
          <w:rFonts w:ascii="Times New Roman" w:hAnsi="Times New Roman"/>
          <w:sz w:val="20"/>
        </w:rPr>
        <w:t xml:space="preserve"> as applicable. All such Company Units, when so converted, shall no longer be outstanding and shall automatically be canceled and shall cease to exist, and Seller shall cease to have any rights with respect thereto, except the right to receive the Merger Consideration, subject to adjustment pursuant to </w:t>
      </w:r>
      <w:r>
        <w:rPr>
          <w:rFonts w:ascii="Times New Roman" w:hAnsi="Times New Roman"/>
          <w:sz w:val="20"/>
          <w:u w:val="single"/>
        </w:rPr>
        <w:t>Section 2.05</w:t>
      </w:r>
      <w:r>
        <w:rPr>
          <w:rFonts w:ascii="Times New Roman" w:hAnsi="Times New Roman"/>
          <w:sz w:val="20"/>
        </w:rPr>
        <w:t xml:space="preserv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(b) At the Second Effective Time, by virtue of the Second Step Merger and without any action on the part of any Person, upon the terms and subject to the conditions of this Agreement, each membership interest in the Intermediate Surviving Company issued and outstanding immediately prior to such effective time of the Second Step Merger (all of which will be held by Parent as a result of the First Step Merger) shall be cancelled and extinguished.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Transfer Agent</w:t>
      </w:r>
      <w:r>
        <w:rPr>
          <w:rFonts w:ascii="Times New Roman" w:hAnsi="Times New Roman"/>
          <w:sz w:val="20"/>
        </w:rPr>
        <w:t>. Parent has previously engaged Equiniti Trust Company, LLC (or one of its Affiliates) to act as the transfer agent (the “</w:t>
      </w:r>
      <w:r>
        <w:rPr>
          <w:rFonts w:ascii="Times New Roman" w:hAnsi="Times New Roman"/>
          <w:sz w:val="20"/>
          <w:u w:val="single"/>
        </w:rPr>
        <w:t>Transfer Agent</w:t>
      </w:r>
      <w:r>
        <w:rPr>
          <w:rFonts w:ascii="Times New Roman" w:hAnsi="Times New Roman"/>
          <w:sz w:val="20"/>
        </w:rPr>
        <w:t xml:space="preserve">”) for the shares of Parent Common Stock.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Distribution of Initial Merger 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Issuance of Initial Merger Consideration</w:t>
      </w:r>
      <w:r>
        <w:rPr>
          <w:rFonts w:ascii="Times New Roman" w:hAnsi="Times New Roman"/>
          <w:sz w:val="20"/>
        </w:rPr>
        <w:t xml:space="preserve">. At the Effective Time, (i) Parent shall issue, or shall instruct the Transfer Agent to issue, to Seller certificates or evidence of shares in book-entry form representing the shares of Parent Common Stock to be issued as part of the Initial Merger Consideration, and (ii) Parent shall pay, or cause to be paid, to Seller the Estimated Cash Consideration by wire transfer of immediately available funds to the account designated in writing by Seller to Parent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Initial Merger Consideration</w:t>
      </w:r>
      <w:r>
        <w:rPr>
          <w:rFonts w:ascii="Times New Roman" w:hAnsi="Times New Roman"/>
          <w:sz w:val="20"/>
        </w:rPr>
        <w:t xml:space="preserve">. Upon the cancellation of the Company Units at the Effective Time in accordance with </w:t>
      </w:r>
      <w:r>
        <w:rPr>
          <w:rFonts w:ascii="Times New Roman" w:hAnsi="Times New Roman"/>
          <w:sz w:val="20"/>
          <w:u w:val="single"/>
        </w:rPr>
        <w:t>Section 2.01</w:t>
      </w:r>
      <w:r>
        <w:rPr>
          <w:rFonts w:ascii="Times New Roman" w:hAnsi="Times New Roman"/>
          <w:sz w:val="20"/>
        </w:rPr>
        <w:t xml:space="preserve">, Seller shall be entitled to receive in exchange therefor the Initial Merger Consideration which Seller has the right to receive pursuant to </w:t>
      </w:r>
      <w:r>
        <w:rPr>
          <w:rFonts w:ascii="Times New Roman" w:hAnsi="Times New Roman"/>
          <w:sz w:val="20"/>
          <w:u w:val="single"/>
        </w:rPr>
        <w:t>Section 2.01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Withholding Rights</w:t>
      </w:r>
      <w:r>
        <w:rPr>
          <w:rFonts w:ascii="Times New Roman" w:hAnsi="Times New Roman"/>
          <w:sz w:val="20"/>
        </w:rPr>
        <w:t xml:space="preserve">. Each of Parent, Seller, the Surviving Company, and the Transfer Agent (without duplication) shall be entitled to deduct and withhold (or cause to be deducted and withheld) from the amounts otherwise payable pursuant to this Agreement such Taxes as may be required to be deducted and withheld with respect to the making of such payments under applicable Law. Parent, Seller, the Surviving Company, and the Transfer Agent, as the case may be, shall reasonably cooperate with the Company to minimize any such deduction or withholding. Subject to applicable Law, and without limiting the foregoing, the applicable withholding party may sell a portion of the Parent Common Stock otherwise payable to any Person pursuant to this Agreement in order to make any deduction or withholding that is required to be made under applicable Law with respect to amounts payable to such Person. Amounts or securities deducted and withheld pursuant to this </w:t>
      </w:r>
      <w:r>
        <w:rPr>
          <w:rFonts w:ascii="Times New Roman" w:hAnsi="Times New Roman"/>
          <w:sz w:val="20"/>
          <w:u w:val="single"/>
        </w:rPr>
        <w:t>Section 2.04</w:t>
      </w:r>
      <w:r>
        <w:rPr>
          <w:rFonts w:ascii="Times New Roman" w:hAnsi="Times New Roman"/>
          <w:sz w:val="20"/>
        </w:rPr>
        <w:t xml:space="preserve"> and paid over to the appropriate Governmental Authority shall be treated for all purposes of this Agreement as having been paid or delivered to the Person in respect of which such deduction and withholding was made.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Post-Closing Adjustment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Estimated Closing Statement</w:t>
      </w:r>
      <w:r>
        <w:rPr>
          <w:rFonts w:ascii="Times New Roman" w:hAnsi="Times New Roman"/>
          <w:sz w:val="20"/>
        </w:rPr>
        <w:t>. No later than three (3) Business Days prior to the Closing Date, Seller has prepared or has caused to be prepared and delivered to Parent a statement attached hereto as Annex II (the “</w:t>
      </w:r>
      <w:r>
        <w:rPr>
          <w:rFonts w:ascii="Times New Roman" w:hAnsi="Times New Roman"/>
          <w:sz w:val="20"/>
          <w:u w:val="single"/>
        </w:rPr>
        <w:t>Estimated Closing Statement</w:t>
      </w:r>
      <w:r>
        <w:rPr>
          <w:rFonts w:ascii="Times New Roman" w:hAnsi="Times New Roman"/>
          <w:sz w:val="20"/>
        </w:rPr>
        <w:t xml:space="preserve">”), setting forth Seller’s good faith calculation of (i) Estimated Excess Closing Cash, (ii) Estimated Closing Indebtedness, (iii) Estimated Closing Transaction Expenses, (iv) Estimated Closing Net Working Capital and (v) based on such estimates, the Estimated Aggregate Consideration resulting therefrom. The Parties acknowledge that each of the amounts set forth in the Estimated Closing Statement is accompanied by reasonable supporting detail and work papers and prepared in accordance with (x) the definitions of Available Cash, Indebtedness, Transaction Expenses and Net Working Capital, as applicable, and (y) the Accounting Principles.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Closing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As soon as reasonably practicable after the Closing Date, but no later than one hundred fifty (150) days thereafter, Parent shall prepare and deliver (or shall cause to be prepared and delivered) to Seller a statement (the “</w:t>
      </w:r>
      <w:r>
        <w:rPr>
          <w:rFonts w:ascii="Times New Roman" w:hAnsi="Times New Roman"/>
          <w:sz w:val="20"/>
          <w:u w:val="single"/>
        </w:rPr>
        <w:t>Closing Statement</w:t>
      </w:r>
      <w:r>
        <w:rPr>
          <w:rFonts w:ascii="Times New Roman" w:hAnsi="Times New Roman"/>
          <w:sz w:val="20"/>
        </w:rPr>
        <w:t xml:space="preserve">”) setting forth Parent’s good faith calculation of (i) the Excess Closing Cash, (ii) the Closing Indebtedness, (iii) Closing Transaction Expenses, (iv) the Closing Net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Working Capital, (v) based on such calculations, the Final Aggregate Consideration and (vi) the Post-Closing Adjustment Amount resulting therefrom. The Closing Statement shall be accompanied by reasonable supporting detail and work papers and prepared in accordance with (x) the definitions of Available Cash, Indebtedness, Transaction Expenses and Net Working Capital, as applicable, and (y) the Accounting Principles. Notwithstanding anything to the contrary in this Agreement, each component used in the calculation of the Post-Closing Adjustment Amount (including Excess Closing Cash, Closing Indebtedness, Closing Transaction Expenses and Closing Net Working Capital) shall be calculated without duplication, and no item of asset, liability, revenue, expense, obligation or other amount shall be included (in whole or in part) in more than one component of the Post-Closing Adjustment Amount. </w:t>
      </w:r>
    </w:p>
    <w:p>
      <w:pPr>
        <w:pStyle w:val="TextBody"/>
        <w:bidi w:val="0"/>
        <w:spacing w:before="240" w:after="0"/>
        <w:jc w:val="left"/>
        <w:rPr>
          <w:rFonts w:ascii="Times New Roman" w:hAnsi="Times New Roman"/>
          <w:sz w:val="20"/>
        </w:rPr>
      </w:pPr>
      <w:r>
        <w:rPr>
          <w:rFonts w:ascii="Times New Roman" w:hAnsi="Times New Roman"/>
          <w:sz w:val="20"/>
        </w:rPr>
        <w:t>(ii) Following receipt of the Closing Statement, Seller and its Representatives shall be given reasonable access, during normal business hours in a manner that does not disrupt the Company Group’s or Parent operations in any material respects, to the books and records (including work papers, schedules, and calculations) of the Company Group to the extent reasonably related to the preparation of the Closing Statement. If within forty-five (45) days after receipt of the Closing Statement (the “</w:t>
      </w:r>
      <w:r>
        <w:rPr>
          <w:rFonts w:ascii="Times New Roman" w:hAnsi="Times New Roman"/>
          <w:sz w:val="20"/>
          <w:u w:val="single"/>
        </w:rPr>
        <w:t>Review Period</w:t>
      </w:r>
      <w:r>
        <w:rPr>
          <w:rFonts w:ascii="Times New Roman" w:hAnsi="Times New Roman"/>
          <w:sz w:val="20"/>
        </w:rPr>
        <w:t>”), Seller has any good faith objections to Parent’s calculations as set forth in the Closing Statement, then Seller may deliver written notice (a “</w:t>
      </w:r>
      <w:r>
        <w:rPr>
          <w:rFonts w:ascii="Times New Roman" w:hAnsi="Times New Roman"/>
          <w:sz w:val="20"/>
          <w:u w:val="single"/>
        </w:rPr>
        <w:t>Dispute Notice</w:t>
      </w:r>
      <w:r>
        <w:rPr>
          <w:rFonts w:ascii="Times New Roman" w:hAnsi="Times New Roman"/>
          <w:sz w:val="20"/>
        </w:rPr>
        <w:t>”) to Parent setting forth any such objections, along with reasonable supporting details, and the amount(s) in dispute (the proposed adjustment(s) or disputed item(s) to which Seller objects are referred to herein as the “</w:t>
      </w:r>
      <w:r>
        <w:rPr>
          <w:rFonts w:ascii="Times New Roman" w:hAnsi="Times New Roman"/>
          <w:sz w:val="20"/>
          <w:u w:val="single"/>
        </w:rPr>
        <w:t>Disputed Amounts</w:t>
      </w:r>
      <w:r>
        <w:rPr>
          <w:rFonts w:ascii="Times New Roman" w:hAnsi="Times New Roman"/>
          <w:sz w:val="20"/>
        </w:rPr>
        <w:t xml:space="preserve">”). If Seller does not provide a Dispute Notice with respect to any such amounts prior to the expiration of the Review Period, any such amounts not so objected to will be final, binding, non-appealable, and conclusive on the Parties. </w:t>
      </w:r>
    </w:p>
    <w:p>
      <w:pPr>
        <w:pStyle w:val="TextBody"/>
        <w:bidi w:val="0"/>
        <w:spacing w:before="240" w:after="0"/>
        <w:jc w:val="left"/>
        <w:rPr>
          <w:rFonts w:ascii="Times New Roman" w:hAnsi="Times New Roman"/>
          <w:sz w:val="20"/>
        </w:rPr>
      </w:pPr>
      <w:r>
        <w:rPr>
          <w:rFonts w:ascii="Times New Roman" w:hAnsi="Times New Roman"/>
          <w:sz w:val="20"/>
        </w:rPr>
        <w:t>(iii) If Seller delivers a Dispute Notice to Parent prior to the expiration of the Review Period, then Seller and Parent will negotiate in good faith to resolve the Disputed Amounts for thirty (30) days following Parent’s receipt of the Dispute Notice (or such longer period as may be agreed to in writing by Parent and Seller, the “</w:t>
      </w:r>
      <w:r>
        <w:rPr>
          <w:rFonts w:ascii="Times New Roman" w:hAnsi="Times New Roman"/>
          <w:sz w:val="20"/>
          <w:u w:val="single"/>
        </w:rPr>
        <w:t>Negotiation Period</w:t>
      </w:r>
      <w:r>
        <w:rPr>
          <w:rFonts w:ascii="Times New Roman" w:hAnsi="Times New Roman"/>
          <w:sz w:val="20"/>
        </w:rPr>
        <w:t xml:space="preserve">”). If, during the Negotiation Period, Seller and Parent are able to resolve any Disputed Amounts, then such agreed upon amounts will become final, binding, non-appealable, and conclusive on the Parties. </w:t>
      </w:r>
    </w:p>
    <w:p>
      <w:pPr>
        <w:pStyle w:val="TextBody"/>
        <w:bidi w:val="0"/>
        <w:spacing w:before="240" w:after="0"/>
        <w:jc w:val="left"/>
        <w:rPr>
          <w:rFonts w:ascii="Times New Roman" w:hAnsi="Times New Roman"/>
          <w:sz w:val="20"/>
        </w:rPr>
      </w:pPr>
      <w:r>
        <w:rPr>
          <w:rFonts w:ascii="Times New Roman" w:hAnsi="Times New Roman"/>
          <w:sz w:val="20"/>
        </w:rPr>
        <w:t>(iv) If a final resolution is not obtained within the Negotiation Period, Parent and Seller will retain, within fifteen (15) days following the expiration of the Negotiation Period, for the benefit of all the Parties a nationally recognized independent public accounting or advisory firm that has proven experience in resolving the matters related to the Disputed Amounts and that is mutually agreed to by Parent and Seller (such mutually agreed to public accounting firm, the “</w:t>
      </w:r>
      <w:r>
        <w:rPr>
          <w:rFonts w:ascii="Times New Roman" w:hAnsi="Times New Roman"/>
          <w:sz w:val="20"/>
          <w:u w:val="single"/>
        </w:rPr>
        <w:t>Independent Accountant</w:t>
      </w:r>
      <w:r>
        <w:rPr>
          <w:rFonts w:ascii="Times New Roman" w:hAnsi="Times New Roman"/>
          <w:sz w:val="20"/>
        </w:rPr>
        <w:t xml:space="preserve">”) to resolve any remaining Disputed Amounts. If the Independent Accountant is retained, then (A) Parent and Seller will each submit to the Independent Accountant in writing, not later than fifteen (15) days after the Independent Accountant is retained, their respective positions with respect to the Disputed Amounts, together with such supporting documentation as they deem necessary or as the Independent Accountant requests, and (B) the Independent Accountant will, within thirty (30) days after receiving the positions of Parent and Seller and all supplementary supporting documentation requested by the Independent Accountant (or such longer period as may be agreed to by Parent and Seller, if requested by the Independent Accountant), render its decision as to the Disputed Amounts in a written report, which decision will be final, binding, non-appealable, and conclusive on the Parties absent manifest error. Neither Parent nor Seller will have or conduct any communication, either written or oral, with the Independent Accountant without such other Party being present, and such other Party shall receive a concurrent copy of any written communication of the Independent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Accountant with the other Party. Parent and Seller, and their respective Representatives, will cooperate reasonably with the Independent Accountant during its engagement and respond on a timely basis to all requests for information or access to documents or personnel made by the Independent Accountant, all with the intent to fairly, reasonably and in good faith resolve all Disputed Amounts as promptly as reasonably practicable. In resolving any disputed item, the Independent Accountant (w) for each line item under dispute, may not assign a value to any such line item greater than the greatest value for such item claimed by either Parent or Seller, or less than the lowest value for such item claimed by either Parent or Seller, in each case, as presented to the Independent Accountant, absent manifest error or Fraud upon determination of such values by either of the Parties, (x) will be bound by the principles set forth in this Agreement, (y) will act as an expert and not as an arbitrator, and (z) will limit its review to matters specifically set forth in the Dispute Notice (including reasonable supporting material submitted along therewith) and will not conduct any independent review. Subject to the following sentence, the costs of any dispute resolution pursuant to this </w:t>
      </w:r>
      <w:r>
        <w:rPr>
          <w:rFonts w:ascii="Times New Roman" w:hAnsi="Times New Roman"/>
          <w:sz w:val="20"/>
          <w:u w:val="single"/>
        </w:rPr>
        <w:t>Section 2.05(b)</w:t>
      </w:r>
      <w:r>
        <w:rPr>
          <w:rFonts w:ascii="Times New Roman" w:hAnsi="Times New Roman"/>
          <w:sz w:val="20"/>
        </w:rPr>
        <w:t xml:space="preserve">, including the fees and expenses of the Independent Accountant and of any enforcement of the determination thereof, shall be borne by the Party whose aggregate final positions claimed for all line items are further from the aggregate final determinations of the Independent Accountant (measured by the aggregate Dollar value of all Disputed Amounts as finally determined by the Independent Accountant compared to the aggregate Dollar value of all Disputed Amounts as claimed by each Party in its respective positions). Notwithstanding the foregoing, the fees and disbursements of the Representatives of each Party incurred in connection with their preparation or review of the Closing Statement and preparation or review of any Dispute Notice, as applicable, shall be borne by such Party. </w:t>
      </w:r>
    </w:p>
    <w:p>
      <w:pPr>
        <w:pStyle w:val="TextBody"/>
        <w:bidi w:val="0"/>
        <w:spacing w:before="240" w:after="0"/>
        <w:jc w:val="left"/>
        <w:rPr>
          <w:rFonts w:ascii="Times New Roman" w:hAnsi="Times New Roman"/>
          <w:sz w:val="20"/>
        </w:rPr>
      </w:pPr>
      <w:r>
        <w:rPr>
          <w:rFonts w:ascii="Times New Roman" w:hAnsi="Times New Roman"/>
          <w:sz w:val="20"/>
        </w:rPr>
        <w:t xml:space="preserve">(v) If a Party fails to comply with, make any payment required by, or otherwise perform in accordance with the Independent Accountant’s determination within the time period specified herein, the other Party may seek and obtain entry of judgment, specific performance, injunctive relief, or any other appropriate remedy from any court of competent jurisdiction (or, if applicable, may commence arbitration solely for the purpose of enforcing such determination). For the avoidance of doubt, such court proceeding or arbitration shall be limited solely to enforcement of the Independent Accountant’s determination and shall not permit any Party to re-litigate, challenge, modify, or appeal the merits of the disputed items or the Independent Accountant’s determination.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Settlement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If the Post-Closing Adjustment Amount is greater than or equal to zero, then promptly (but in any event within five (5) Business Days) after the date the Post-Closing Adjustment Amount is finally determined pursuant to this </w:t>
      </w:r>
      <w:r>
        <w:rPr>
          <w:rFonts w:ascii="Times New Roman" w:hAnsi="Times New Roman"/>
          <w:sz w:val="20"/>
          <w:u w:val="single"/>
        </w:rPr>
        <w:t>Section 2.05</w:t>
      </w:r>
      <w:r>
        <w:rPr>
          <w:rFonts w:ascii="Times New Roman" w:hAnsi="Times New Roman"/>
          <w:sz w:val="20"/>
        </w:rPr>
        <w:t xml:space="preserve">, Parent shall pay to Seller, by wire transfer of immediately available funds to an account designated by Seller, an amount in cash equal to the absolute value of the Post-Closing Adjustment Amount and in no event shall Parent issue any additional shares of Parent Common Stock in respect thereof. Seller’s sole and exclusive remedy for any Post-Closing Adjustment Amount that is greater than or equal to zero shall be the payment of cash pursuant to this </w:t>
      </w:r>
      <w:r>
        <w:rPr>
          <w:rFonts w:ascii="Times New Roman" w:hAnsi="Times New Roman"/>
          <w:sz w:val="20"/>
          <w:u w:val="single"/>
        </w:rPr>
        <w:t>Section 2.05(c)(i)</w:t>
      </w:r>
      <w:r>
        <w:rPr>
          <w:rFonts w:ascii="Times New Roman" w:hAnsi="Times New Roman"/>
          <w:sz w:val="20"/>
        </w:rPr>
        <w:t xml:space="preserve">. Upon such payment pursuant to this </w:t>
      </w:r>
      <w:r>
        <w:rPr>
          <w:rFonts w:ascii="Times New Roman" w:hAnsi="Times New Roman"/>
          <w:sz w:val="20"/>
          <w:u w:val="single"/>
        </w:rPr>
        <w:t>Section 2.05(c)(i)</w:t>
      </w:r>
      <w:r>
        <w:rPr>
          <w:rFonts w:ascii="Times New Roman" w:hAnsi="Times New Roman"/>
          <w:sz w:val="20"/>
        </w:rPr>
        <w:t xml:space="preserve">, none of Parent, the Surviving Company or any of their respective Affiliates shall have any further liability arising out of this </w:t>
      </w:r>
      <w:r>
        <w:rPr>
          <w:rFonts w:ascii="Times New Roman" w:hAnsi="Times New Roman"/>
          <w:sz w:val="20"/>
          <w:u w:val="single"/>
        </w:rPr>
        <w:t>Section 2.05</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If the Post-Closing Adjustment Amount is less than zero, then promptly (but in any event within five (5) Business Days) after the date the Post-Closing Adjustment Amount is finally determined pursuant to this </w:t>
      </w:r>
      <w:r>
        <w:rPr>
          <w:rFonts w:ascii="Times New Roman" w:hAnsi="Times New Roman"/>
          <w:sz w:val="20"/>
          <w:u w:val="single"/>
        </w:rPr>
        <w:t>Section 2.05</w:t>
      </w:r>
      <w:r>
        <w:rPr>
          <w:rFonts w:ascii="Times New Roman" w:hAnsi="Times New Roman"/>
          <w:sz w:val="20"/>
        </w:rPr>
        <w:t xml:space="preserve">, Seller shall pay to Parent, by wire transfer of immediately available funds to an account designated by Parent, an amount in cash equal to the absolute value of the Post-Closing Adjustment Amount. Parent’s sole and exclusive remedy for any Post-Closing Adjustment Amount that is less than zero shall be the cash payment from Seller pursuant to this </w:t>
      </w:r>
      <w:r>
        <w:rPr>
          <w:rFonts w:ascii="Times New Roman" w:hAnsi="Times New Roman"/>
          <w:sz w:val="20"/>
          <w:u w:val="single"/>
        </w:rPr>
        <w:t>Section 2.05(c)(ii)</w:t>
      </w:r>
      <w:r>
        <w:rPr>
          <w:rFonts w:ascii="Times New Roman" w:hAnsi="Times New Roman"/>
          <w:sz w:val="20"/>
        </w:rPr>
        <w:t xml:space="preserve">. Upon such payment of cash pursuant to this </w:t>
      </w:r>
      <w:r>
        <w:rPr>
          <w:rFonts w:ascii="Times New Roman" w:hAnsi="Times New Roman"/>
          <w:sz w:val="20"/>
          <w:u w:val="single"/>
        </w:rPr>
        <w:t>Section 2.05(c)(ii)</w:t>
      </w:r>
      <w:r>
        <w:rPr>
          <w:rFonts w:ascii="Times New Roman" w:hAnsi="Times New Roman"/>
          <w:sz w:val="20"/>
        </w:rPr>
        <w:t xml:space="preserve">, neither Seller nor its Affiliates shall have any further liability arising out of this </w:t>
      </w:r>
      <w:r>
        <w:rPr>
          <w:rFonts w:ascii="Times New Roman" w:hAnsi="Times New Roman"/>
          <w:sz w:val="20"/>
          <w:u w:val="single"/>
        </w:rPr>
        <w:t>Section 2.05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No Fractional Shares</w:t>
      </w:r>
      <w:r>
        <w:rPr>
          <w:rFonts w:ascii="Times New Roman" w:hAnsi="Times New Roman"/>
          <w:sz w:val="20"/>
        </w:rPr>
        <w:t xml:space="preserve">. No fractional shares of Parent Common Stock shall be issued in connection with the Merger, and no certificates or scrip for any such fractional shares shall be issued. After aggregating all fractional shares of the same class and series issuable to Seller, any number of shares of Parent Common Stock issuable, deliverable or otherwise calculated pursuant to this Agreement that is not a whole number shall be rounded down to the nearest whole share.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Nasdaq Share Cap</w:t>
      </w:r>
      <w:r>
        <w:rPr>
          <w:rFonts w:ascii="Times New Roman" w:hAnsi="Times New Roman"/>
          <w:sz w:val="20"/>
        </w:rPr>
        <w:t xml:space="preserve">. Notwithstanding anything to the contrary in this Agreement, the shares of Parent Common Stock issued to Seller at the Closing shall not result in the acquisition of beneficial ownership of Parent Common Stock in excess of the Common Stock Consideration Cap, representing 19.99% of the total number of shares of Parent Common Stock outstanding immediately prior to the First Effective Time.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PARENT </w:t>
      </w:r>
    </w:p>
    <w:p>
      <w:pPr>
        <w:pStyle w:val="TextBody"/>
        <w:bidi w:val="0"/>
        <w:spacing w:before="240" w:after="0"/>
        <w:jc w:val="left"/>
        <w:rPr>
          <w:rFonts w:ascii="Times New Roman" w:hAnsi="Times New Roman"/>
          <w:sz w:val="20"/>
        </w:rPr>
      </w:pPr>
      <w:r>
        <w:rPr>
          <w:rFonts w:ascii="Times New Roman" w:hAnsi="Times New Roman"/>
          <w:sz w:val="20"/>
        </w:rPr>
        <w:t xml:space="preserve">Parent represents and warrants to the Company, as of the date hereof, except as disclosed in the Parent SEC Documents prior to the date of this Agreement, and excluding any disclosures contained under the heading “Risk Factors” and any disclosure of risks included in any “forward-looking statements” disclaimer or in any other section to the extent they are forward-looking statements or cautionary, predictive or forward-looking in nature,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Organization; Standing and Power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Parent and Merger Sub is duly organized, validly existing and in good standing under the applicable Law of its jurisdiction of organization. Each of Parent and Merger Sub has all requisite corporate or limited liability company power, as applicable, and authority necessary to enable it to own, lease or otherwise hold its properties and assets and to conduct its business and operations as currently conducted. Each of Parent and Merger Sub has made available to the Company true and complete copies of the Organizational Documents of Parent and Merger Sub, as applicable and in each case as amended through, and in full force and effect as of, the date of this Agreement, and neither Parent nor Merger Sub is in violation of any provision of its Organizational Documents, other than such violations that, individually or in the aggregate, would not reasonably be expected to be material to Parent or Merger Sub, as applicable. </w:t>
      </w:r>
    </w:p>
    <w:p>
      <w:pPr>
        <w:pStyle w:val="TextBody"/>
        <w:bidi w:val="0"/>
        <w:spacing w:before="240" w:after="0"/>
        <w:jc w:val="left"/>
        <w:rPr>
          <w:rFonts w:ascii="Times New Roman" w:hAnsi="Times New Roman"/>
          <w:sz w:val="20"/>
        </w:rPr>
      </w:pPr>
      <w:r>
        <w:rPr>
          <w:rFonts w:ascii="Times New Roman" w:hAnsi="Times New Roman"/>
          <w:sz w:val="20"/>
        </w:rPr>
        <w:t xml:space="preserve">(b) Each of Parent and Merger Sub is duly qualified to do business and is in good standing (or its equivalent status) in each jurisdiction in which it conducts business or in which the nature of its business or the ownership or leasing of its properties makes such qualification or good standing necessary, other than as would not, individually or in the aggregate, be material to Parent or Merger Sub.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Authority; Execution and Delivery; Enforceability</w:t>
      </w:r>
      <w:r>
        <w:rPr>
          <w:rFonts w:ascii="Times New Roman" w:hAnsi="Times New Roman"/>
          <w:sz w:val="20"/>
        </w:rPr>
        <w:t xml:space="preserve">. Each of Parent and Merger Sub has all requisite power and authority to execute and deliver each Transaction Document to which it is or is contemplated to be a party, to perform its obligations thereunder and to consummate the Transactions. The execution and delivery by each of Parent and Merger Sub of each Transaction Document to which it is or is contemplated to be a party and the consummation by each of Parent and Merger Sub of the Transactions have been duly authorized by the Boards of Directors of Parent and Merger Sub, and no other corporate proceedings on the part of Parent or Merger Sub are necessary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authorize the Transaction Documents to which it is or is contemplated to be a party or the consummation of the Transactions. Each of Parent and Merger Sub has duly executed and delivered this Agreement, and, assuming due authorization, execution and delivery by the other Parties, this Agreement constitutes its legal, valid and binding obligation, enforceable against Parent and Merger Sub in accordance with its terms (except insofar as such enforceability may be limited by applicable bankruptcy, insolvency, reorganization, moratorium or similar Laws affecting creditors’ rights generally or by principles governing the availability of equitable remedies). Upon the execution and delivery by each of Parent and Merger Sub of each other Transaction Document to which it is or is contemplated to be a party and, assuming due authorization, execution and delivery by the other Parties thereto, each other Transaction Document to which it is or is contemplated to be a party will constitute its legal, valid and binding obligation, enforceable against it in accordance with its terms (except insofar as such enforceability may be limited by applicable bankruptcy, insolvency, reorganization, moratorium or similar Laws affecting creditors’ rights generally, or by principles governing the availability of equitable remedies).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No Conflicts; Governmental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execution and delivery by each of Parent and Merger Sub of each Transaction Document to which it is a party does not, the execution and delivery by each of Parent and Merger Sub of each Transaction Document to which it is contemplated to be a party will not, and the consummation by each of Parent and Merger Sub of the Transactions and compliance with the terms hereof and thereof will not, conflict with, or result in any violation of or default (or an event that, with or without notice or lapse of time or both, would become a default) under, or give rise to a right of termination, cancelation or acceleration of any obligation or to loss of a material benefit under, or to increased, additional, accelerated or guaranteed rights or entitlements of any Person under, or result in the creation of any Lien upon any of the properties or assets of Parent or Merger Sub under any provision of (i) the Organizational Documents of Parent or Merger Sub, or (ii) subject to the filings, Consents and other matters referred to in </w:t>
      </w:r>
      <w:r>
        <w:rPr>
          <w:rFonts w:ascii="Times New Roman" w:hAnsi="Times New Roman"/>
          <w:sz w:val="20"/>
          <w:u w:val="single"/>
        </w:rPr>
        <w:t>Section 3.03(b)</w:t>
      </w:r>
      <w:r>
        <w:rPr>
          <w:rFonts w:ascii="Times New Roman" w:hAnsi="Times New Roman"/>
          <w:sz w:val="20"/>
        </w:rPr>
        <w:t xml:space="preserve">, any Governmental Order or Law applicable to Parent or Merger Sub or their respective properties or assets, other than, in the case of </w:t>
      </w:r>
      <w:r>
        <w:rPr>
          <w:rFonts w:ascii="Times New Roman" w:hAnsi="Times New Roman"/>
          <w:sz w:val="20"/>
          <w:u w:val="single"/>
        </w:rPr>
        <w:t>clause (ii)</w:t>
      </w:r>
      <w:r>
        <w:rPr>
          <w:rFonts w:ascii="Times New Roman" w:hAnsi="Times New Roman"/>
          <w:sz w:val="20"/>
        </w:rPr>
        <w:t xml:space="preserve"> above, any such item that, individually or in the aggregate, has not had, and would not reasonably be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No action by (including any notification to, authorization by, Consent or approval of, or receipt of any Governmental Approval or Permit of), or in respect of, or filing with, any Governmental Authority is required by or on behalf of Parent or Merger Sub or in respect of Parent or Merger Sub, or in connection with, (a) the valid and lawful authorization, execution, delivery and performance by Parent and Merger Sub of this Agreement or any Transaction Document to which it is (or with respect to Transaction Documents to be entered into at the Closing, will be) a party or (b) the consummation of the Transactions, except for (i) filings under the HSR Act, (ii) filing of the First Certificate of Merger and the Second Certificates of Merger with the Secretaries of State of the States of Delaware and Nevada, as applicable, (iii) the Canadian Regulatory Notifications and a post-Closing notification filing under the </w:t>
      </w:r>
      <w:r>
        <w:rPr>
          <w:rFonts w:ascii="Times New Roman" w:hAnsi="Times New Roman"/>
          <w:i/>
          <w:sz w:val="20"/>
        </w:rPr>
        <w:t>Investment Canada Act</w:t>
      </w:r>
      <w:r>
        <w:rPr>
          <w:rFonts w:ascii="Times New Roman" w:hAnsi="Times New Roman"/>
          <w:sz w:val="20"/>
        </w:rPr>
        <w:t xml:space="preserve">, and (iv) such actions or filings that the failure to take or make, as the case may be, would not, individually or in the aggregate, be material to Parent or Merger Sub.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Certain Arrangements</w:t>
      </w:r>
      <w:r>
        <w:rPr>
          <w:rFonts w:ascii="Times New Roman" w:hAnsi="Times New Roman"/>
          <w:sz w:val="20"/>
        </w:rPr>
        <w:t xml:space="preserve">. Other than the Transaction Documents and the Confidentiality Agreement, there are no Contracts or other arrangements or understandings (whether oral or written and whether or not legally binding) or commitments to enter into contracts or other arrangements or understandings (whether oral or written and whether or not legally binding) between (a) Parent, Merger Sub, or any of their Affiliates, on the one hand, and any member of the Company’s management or any beneficial owner of Company Units, on the other hand, that relate in any way to the Company, the Company Business, or its Subsidiaries, or the Transactions or (b) Parent, Merger Sub, or any of their Affiliates, on the one hand, and any beneficial owner of Company Units, on the other hand, pursuant to which such beneficial owner would be entitled to receive value or consideration of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different amount or nature than the Merger Consideration or pursuant to which such beneficial owner agrees to vote to approve the Merger. Except for obligations incurred in connection with its organization and the transactions contemplated hereby, Merger Sub has neither incurred any Liabilities nor engaged in any business or activity of any type or kind whatsoever or entered into any agreement or arrangement with any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Brokers</w:t>
      </w:r>
      <w:r>
        <w:rPr>
          <w:rFonts w:ascii="Times New Roman" w:hAnsi="Times New Roman"/>
          <w:sz w:val="20"/>
        </w:rPr>
        <w:t xml:space="preserve">. Other than D.A. Davidson &amp; Co. (the fees, commissions and expenses of which Seller and the Company shall have no Liability to pay), no broker, investment banker, financial advisor or other Person is entitled to any broker’s, finder’s, financial advisor’s or other similar fee or commission in connection with the Transactions based upon arrangements made by or on behalf of Parent or Merger Sub.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SEC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Parent has timely filed with or furnished to (as applicable) all reports, schedules, forms, statements and other documents required to be filed or furnished (as applicable) by Parent with the SEC pursuant to the Exchange Act and the Securities Act on or prior to the date of this Agreement (collectively, the “</w:t>
      </w:r>
      <w:r>
        <w:rPr>
          <w:rFonts w:ascii="Times New Roman" w:hAnsi="Times New Roman"/>
          <w:sz w:val="20"/>
          <w:u w:val="single"/>
        </w:rPr>
        <w:t>Parent SEC Documents</w:t>
      </w:r>
      <w:r>
        <w:rPr>
          <w:rFonts w:ascii="Times New Roman" w:hAnsi="Times New Roman"/>
          <w:sz w:val="20"/>
        </w:rPr>
        <w:t xml:space="preserve">”). True, correct, and complete copies of all the Parent SEC Documents are publicly available on the SEC’s Electronic Data Gathering Analysis and Retrieval system. As of their respective dates or, if amended prior to the date of this Agreement, as of the date of the last such amendment, the Parent SEC Documents (i) were prepared in all material respects in accordance with the requirements of the Exchange Act or the Securities Act, as the case may be, applicable to such Parent SEC Documents and (ii) did not, at the time they were filed, or, if amended prior to the date of this Agreement, as of the date of such amendment, contain any untrue statement of a material fact or omit to state a material fact required to be stated therein or necessary in order to make the statements therein, in light of the circumstances under which they were made, not misleading. None of the Parent SEC Documents is the subject of ongoing SEC review or outstanding SEC investigation and there are no outstanding or unresolved comments received from the SEC with respect to any of the Parent SEC Documents. </w:t>
      </w:r>
    </w:p>
    <w:p>
      <w:pPr>
        <w:pStyle w:val="TextBody"/>
        <w:bidi w:val="0"/>
        <w:spacing w:before="240" w:after="0"/>
        <w:jc w:val="left"/>
        <w:rPr>
          <w:rFonts w:ascii="Times New Roman" w:hAnsi="Times New Roman"/>
          <w:sz w:val="20"/>
        </w:rPr>
      </w:pPr>
      <w:r>
        <w:rPr>
          <w:rFonts w:ascii="Times New Roman" w:hAnsi="Times New Roman"/>
          <w:sz w:val="20"/>
        </w:rPr>
        <w:t>(b) The consolidated financial statements (including all related notes thereto) of Parent included in the Parent SEC Documents (if amended, as of the date of the last such amendment filed prior to the date of this Agreement) (the “</w:t>
      </w:r>
      <w:r>
        <w:rPr>
          <w:rFonts w:ascii="Times New Roman" w:hAnsi="Times New Roman"/>
          <w:sz w:val="20"/>
          <w:u w:val="single"/>
        </w:rPr>
        <w:t>Parent SEC Financial Statements</w:t>
      </w:r>
      <w:r>
        <w:rPr>
          <w:rFonts w:ascii="Times New Roman" w:hAnsi="Times New Roman"/>
          <w:sz w:val="20"/>
        </w:rPr>
        <w:t xml:space="preserve">”) comply in all material respects as to form with applicable accounting requirements and the published rules and regulations of the SEC with respect thereto. The Parent SEC Financial Statements fairly present, in all material respects, the consolidated financial position of Parent and its consolidated Subsidiaries, as at the respective dates thereof, and the consolidated results of their operations and their consolidated cash flows for the respective periods then ended (subject, in the case of the unaudited statements, to normal year-end audit adjustments and to the absence of information or notes not required by GAAP to be included in interim financial statements), all in conformity with GAAP (except as permitted by Regulation S-X or, with respect to pro forma information, subject to the qualifications stated therein) applied on a consistent basis during the periods involved (except as may be indicated therein or in the notes thereto). </w:t>
      </w:r>
    </w:p>
    <w:p>
      <w:pPr>
        <w:pStyle w:val="TextBody"/>
        <w:bidi w:val="0"/>
        <w:spacing w:before="240" w:after="0"/>
        <w:jc w:val="left"/>
        <w:rPr>
          <w:rFonts w:ascii="Times New Roman" w:hAnsi="Times New Roman"/>
          <w:sz w:val="20"/>
        </w:rPr>
      </w:pPr>
      <w:r>
        <w:rPr>
          <w:rFonts w:ascii="Times New Roman" w:hAnsi="Times New Roman"/>
          <w:sz w:val="20"/>
        </w:rPr>
        <w:t>(c) Except for matters reflected or reserved against in the unaudited balance sheet of Parent dated as of July 31, 2026 contained in the Parent SEC Documents filed prior to the date hereof (including in the notes thereto) (the “</w:t>
      </w:r>
      <w:r>
        <w:rPr>
          <w:rFonts w:ascii="Times New Roman" w:hAnsi="Times New Roman"/>
          <w:sz w:val="20"/>
          <w:u w:val="single"/>
        </w:rPr>
        <w:t>Parent Balance Sheet</w:t>
      </w:r>
      <w:r>
        <w:rPr>
          <w:rFonts w:ascii="Times New Roman" w:hAnsi="Times New Roman"/>
          <w:sz w:val="20"/>
        </w:rPr>
        <w:t xml:space="preserve">”), neither Parent nor any of its Subsidiaries has any material Liabilities of a nature that would have been required to be disclosed on the face of the Parent Balance Sheet in accordance with GAAP and that would reasonably be expected to have a Parent Material Adverse Effect, except for obligations and liabilities that: (i) are incurred in connection with the transactions contemplated by this Agreement; or (ii) would not reasonably be expected to prevent, materially delay or materially impair the ability of Parent or Merger Sub to consummate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3.07. </w:t>
      </w:r>
      <w:r>
        <w:rPr>
          <w:rFonts w:ascii="Times New Roman" w:hAnsi="Times New Roman"/>
          <w:sz w:val="20"/>
          <w:u w:val="single"/>
        </w:rPr>
        <w:t>Listing</w:t>
      </w:r>
      <w:r>
        <w:rPr>
          <w:rFonts w:ascii="Times New Roman" w:hAnsi="Times New Roman"/>
          <w:sz w:val="20"/>
        </w:rPr>
        <w:t xml:space="preserve">. Not less than fifteen (15) calendar days prior to the date of this Agreement, Parent submitted to Nasdaq a Listing of Additional Shares Notification Form with respect to the shares of Parent Common Stock issued as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Section 3.08. </w:t>
      </w:r>
      <w:r>
        <w:rPr>
          <w:rFonts w:ascii="Times New Roman" w:hAnsi="Times New Roman"/>
          <w:sz w:val="20"/>
          <w:u w:val="single"/>
        </w:rPr>
        <w:t>Valid Issuance</w:t>
      </w:r>
      <w:r>
        <w:rPr>
          <w:rFonts w:ascii="Times New Roman" w:hAnsi="Times New Roman"/>
          <w:sz w:val="20"/>
        </w:rPr>
        <w:t xml:space="preserve">. The shares of Parent Common Stock to be issued as Merger Consideration have been duly authorized and, when issued and delivered in accordance with the terms of this Agreement, will be validly issued, fully paid and non-assessable, and will be free and clear of all Liens and preemptive rights, other than restrictions on transfer arising under applicable securities Laws, this Agreement and the Investor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3.09. </w:t>
      </w:r>
      <w:r>
        <w:rPr>
          <w:rFonts w:ascii="Times New Roman" w:hAnsi="Times New Roman"/>
          <w:sz w:val="20"/>
          <w:u w:val="single"/>
        </w:rPr>
        <w:t>Vote Required</w:t>
      </w:r>
      <w:r>
        <w:rPr>
          <w:rFonts w:ascii="Times New Roman" w:hAnsi="Times New Roman"/>
          <w:sz w:val="20"/>
        </w:rPr>
        <w:t xml:space="preserve">. No vote or approval of the holders of any class or series of capital stock of Parent is required under Nasdaq Listing Rule 5635, applicable Law or the Organizational Documents of Parent to approve this Agreement or to consummate the Transactions, including the issuance of the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Section 3.10. </w:t>
      </w:r>
      <w:r>
        <w:rPr>
          <w:rFonts w:ascii="Times New Roman" w:hAnsi="Times New Roman"/>
          <w:sz w:val="20"/>
          <w:u w:val="single"/>
        </w:rPr>
        <w:t>Absence of Certain Changes</w:t>
      </w:r>
      <w:r>
        <w:rPr>
          <w:rFonts w:ascii="Times New Roman" w:hAnsi="Times New Roman"/>
          <w:sz w:val="20"/>
        </w:rPr>
        <w:t xml:space="preserve">. Since the date of the Parent Balance Sheet, Parent has conducted its business in all material respect in the Ordinary Course of Business and there has been no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3.11. </w:t>
      </w:r>
      <w:r>
        <w:rPr>
          <w:rFonts w:ascii="Times New Roman" w:hAnsi="Times New Roman"/>
          <w:sz w:val="20"/>
          <w:u w:val="single"/>
        </w:rPr>
        <w:t>Independent Investigation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and Merger Sub have conducted their own independent investigation, review and analysis of the business, results of operations, prospects, condition (financial or otherwise), or assets of the Company Group, and each acknowledges that it has been provided adequate access to the personnel, properties, assets, premises, books and records, and other documents and data of the Company Group for such purpose. Each of Parent and Merger Sub has relied solely upon its own investigation and the express representations and warranties set forth in </w:t>
      </w:r>
      <w:r>
        <w:rPr>
          <w:rFonts w:ascii="Times New Roman" w:hAnsi="Times New Roman"/>
          <w:sz w:val="20"/>
          <w:u w:val="single"/>
        </w:rPr>
        <w:t>Article IV</w:t>
      </w:r>
      <w:r>
        <w:rPr>
          <w:rFonts w:ascii="Times New Roman" w:hAnsi="Times New Roman"/>
          <w:sz w:val="20"/>
        </w:rPr>
        <w:t xml:space="preserve"> and </w:t>
      </w:r>
      <w:r>
        <w:rPr>
          <w:rFonts w:ascii="Times New Roman" w:hAnsi="Times New Roman"/>
          <w:sz w:val="20"/>
          <w:u w:val="single"/>
        </w:rPr>
        <w:t>Article V</w:t>
      </w:r>
      <w:r>
        <w:rPr>
          <w:rFonts w:ascii="Times New Roman" w:hAnsi="Times New Roman"/>
          <w:sz w:val="20"/>
        </w:rPr>
        <w:t xml:space="preserve"> of this Agreement (including the related portions of the Company Disclosure Letter) or in any certificate or agreement delivered pursuant to this Agreement, including, for the avoidance of doubt, the Seller Parent Guaranty. </w:t>
      </w:r>
    </w:p>
    <w:p>
      <w:pPr>
        <w:pStyle w:val="TextBody"/>
        <w:bidi w:val="0"/>
        <w:spacing w:before="240" w:after="0"/>
        <w:jc w:val="left"/>
        <w:rPr>
          <w:rFonts w:ascii="Times New Roman" w:hAnsi="Times New Roman"/>
          <w:sz w:val="20"/>
        </w:rPr>
      </w:pPr>
      <w:r>
        <w:rPr>
          <w:rFonts w:ascii="Times New Roman" w:hAnsi="Times New Roman"/>
          <w:sz w:val="20"/>
        </w:rPr>
        <w:t>(b) In connection with the due diligence investigation of the Company Group by Parent and Merger Sub, Parent and Merger Sub have received from Seller, the Company Group, its Affiliates and their respective Representatives certain projections, forecasts, estimates, plans, or budgets of future revenue, expenses, or expenditures, future results of operations, future cash flows, or the future financial condition of the Company Group, Seller or the future business, operations, or affairs of the Company Group or Seller. Such projections, forecasts, estimates, plans, or budgets of future revenue, expenses, or expenditures, future results of operations, future cash flows, or the future financial condition of the Company Group, Seller or the future business, operations, or affairs of the Company Group or Seller shall not be deemed to be or include representations or warranties unless and to the extent any such other representation, warranty, statement or other information are expressly set forth in</w:t>
      </w:r>
      <w:r>
        <w:rPr>
          <w:rFonts w:ascii="Times New Roman" w:hAnsi="Times New Roman"/>
          <w:sz w:val="20"/>
          <w:u w:val="single"/>
        </w:rPr>
        <w:t xml:space="preserve"> Article IV</w:t>
      </w:r>
      <w:r>
        <w:rPr>
          <w:rFonts w:ascii="Times New Roman" w:hAnsi="Times New Roman"/>
          <w:sz w:val="20"/>
        </w:rPr>
        <w:t xml:space="preserve"> and </w:t>
      </w:r>
      <w:r>
        <w:rPr>
          <w:rFonts w:ascii="Times New Roman" w:hAnsi="Times New Roman"/>
          <w:sz w:val="20"/>
          <w:u w:val="single"/>
        </w:rPr>
        <w:t>Article V</w:t>
      </w:r>
      <w:r>
        <w:rPr>
          <w:rFonts w:ascii="Times New Roman" w:hAnsi="Times New Roman"/>
          <w:sz w:val="20"/>
        </w:rPr>
        <w:t xml:space="preserve"> of this Agreement (including the related portions of the Company Disclosure Letter) or in any certificate delivered pursuant to this Agreement, including, for the avoidance of doubt, the Seller Parent Guaranty.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in the Company Disclosure Letter, the Company hereby represents and warrants to Parent, as of the date hereof,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Organization, Standing and Power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is duly organized, validly existing and in good standing under the Laws of the State of Delaware. The Company has all requisite corporate or limited liability company power, as applicable, and authority necessary to enable it to own, lease or otherwise hold its properties and assets and to conduct its business and operations as currently conducted and as currently proposed to be conducted. The Company has made available to Parent true and complete copies of the Organizational Documents of the Company as amended through, and in full force and effect as of, the date of this Agreement, and the Company is not in violation of any provision of its Organizational Documents. </w:t>
      </w:r>
    </w:p>
    <w:p>
      <w:pPr>
        <w:pStyle w:val="TextBody"/>
        <w:bidi w:val="0"/>
        <w:spacing w:before="240" w:after="0"/>
        <w:jc w:val="left"/>
        <w:rPr>
          <w:rFonts w:ascii="Times New Roman" w:hAnsi="Times New Roman"/>
          <w:sz w:val="20"/>
        </w:rPr>
      </w:pPr>
      <w:r>
        <w:rPr>
          <w:rFonts w:ascii="Times New Roman" w:hAnsi="Times New Roman"/>
          <w:sz w:val="20"/>
        </w:rPr>
        <w:t xml:space="preserve">(b) Each Company Subsidiary is duly organized, validly existing and in good standing (or its equivalent status) under the Laws of the jurisdiction in which it is organized, except for any failure to be duly organized, validly existing or in good standing that, would not, individually or in the aggregate, be material to the Company. Each Company Subsidiary has all requisite power and authority necessary to enable it to own, lease or otherwise hold its properties and assets and to conduct its business as currently conducted and as currently proposed to be conducted, except for any failure to have such power or authority that would not, individually or in the aggregate, be material to the Company. The Company has made available to Parent true and complete copies of the Organizational Documents of each Company Subsidiary, in each case as amended through, and in full force and effect as of, the date of this Agreement, and no Company Subsidiary is in violation of any provision of its Organizational Documents. </w:t>
      </w:r>
    </w:p>
    <w:p>
      <w:pPr>
        <w:pStyle w:val="TextBody"/>
        <w:bidi w:val="0"/>
        <w:spacing w:before="240" w:after="0"/>
        <w:jc w:val="left"/>
        <w:rPr>
          <w:rFonts w:ascii="Times New Roman" w:hAnsi="Times New Roman"/>
          <w:sz w:val="20"/>
        </w:rPr>
      </w:pPr>
      <w:r>
        <w:rPr>
          <w:rFonts w:ascii="Times New Roman" w:hAnsi="Times New Roman"/>
          <w:sz w:val="20"/>
        </w:rPr>
        <w:t xml:space="preserve">(c) The Company and each Company Subsidiary is duly qualified to do business and is in good standing (or its equivalent status) in each jurisdiction in which it conducts business or in which the nature of its business or the ownership or leasing of its properties makes such qualification or good standing necessary, except for any failure to be so qualified or in good standing that would not, individually or in the aggregate, be material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Capitalization; 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Immediately prior to the Effective Time, one hundred percent (100%) of the Company Units are owned by Seller. The Company Units constitute all of the issued and outstanding Equity Interests in the Company. There are no Equity Interests in the Company issued or outstanding other than as set forth on </w:t>
      </w:r>
      <w:r>
        <w:rPr>
          <w:rFonts w:ascii="Times New Roman" w:hAnsi="Times New Roman"/>
          <w:sz w:val="20"/>
          <w:u w:val="single"/>
        </w:rPr>
        <w:t>Section 4.02(a)</w:t>
      </w:r>
      <w:r>
        <w:rPr>
          <w:rFonts w:ascii="Times New Roman" w:hAnsi="Times New Roman"/>
          <w:sz w:val="20"/>
        </w:rPr>
        <w:t xml:space="preserve"> of the Company Disclosure Letter. All of the Company Units are fully paid and non-assessable, duly authorized and validly issued pursuant to the Organizational Documents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Except as set forth in </w:t>
      </w:r>
      <w:r>
        <w:rPr>
          <w:rFonts w:ascii="Times New Roman" w:hAnsi="Times New Roman"/>
          <w:sz w:val="20"/>
          <w:u w:val="single"/>
        </w:rPr>
        <w:t>Section 4.02(b)</w:t>
      </w:r>
      <w:r>
        <w:rPr>
          <w:rFonts w:ascii="Times New Roman" w:hAnsi="Times New Roman"/>
          <w:sz w:val="20"/>
        </w:rPr>
        <w:t xml:space="preserve"> of the Company Disclosure Letter: (i) there are no outstanding obligations, preemptive rights, options, warrants, put, call, purchase rights, subscription rights, conversion rights, convertible instruments, exchange rights or other rights, arrangements, securities, Contracts, agreements or commitments of any kind directly or indirectly relating to Equity Interests in the Company or obligating the Company to issue or sell, or make a payment the value of which is measured by reference to, any issued or unissued Equity Interests therein and there are no Equity Interests in the Company reserved for issuance for any purpose; (ii) the Company has no contractual obligations (contingent or otherwise) to repurchase, redeem or otherwise acquire any Equity Interests therein or to provide funds to or make any form of investment in any other Person; (iii) there are no trusts (including voting trusts), equityholder agreements, registration rights agreements, proxies or other agreements, arrangements or understandings of any kind with respect to the voting or transfer of any Equity Interests in the Company; (iv) there are no equity appreciation, restricted stock, phantom equity, profit participation or other compensatory equity or equity-based plans or programs in effect with respect to or measured by reference to Equity Interests in the Company and the Company has no contractual obligation to grant, issue or award any such incentive Equity Interests to any Person; (v) none of the issued and outstanding Equity Interests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have been issued in violation of any preemptive rights, rights of first refusal, put or call rights or obligations or anti-dilution rights, or in violation of the Securities Act or any other applicable securities laws; and (vi) there have not been any claims by any current or former holders of Equity Interests in the Company against or involving the Company with respect to any equity or debt interests in the Company. The Company is not under any obligation to register under the Securities Act any of the Company Units.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4.02(c)</w:t>
      </w:r>
      <w:r>
        <w:rPr>
          <w:rFonts w:ascii="Times New Roman" w:hAnsi="Times New Roman"/>
          <w:sz w:val="20"/>
        </w:rPr>
        <w:t xml:space="preserve"> of the Company Disclosure Letter sets forth, as of immediately prior to the Effective Time, a true and complete list of each Company Subsidiary, including for each such Company Subsidiary: (i) such Company Subsidiary’s name and organizational type; (ii) such Company Subsidiary’s jurisdiction of incorporation or organization; (iii) the number and type of Equity Interests issued and outstanding for such Company Subsidiary; and (iv) the direct owner(s) of such Company Subsidiary. All Equity Interests in each Company Subsidiary are owned directly or indirectly by the Company, free and clear of all Liens, except for restrictions on transfer in the Organizational Documents of such Company Subsidiary. All Equity Interests of each Company Subsidiary are duly authorized and validly issued, fully paid and non-assessable. Except as set forth in </w:t>
      </w:r>
      <w:r>
        <w:rPr>
          <w:rFonts w:ascii="Times New Roman" w:hAnsi="Times New Roman"/>
          <w:sz w:val="20"/>
          <w:u w:val="single"/>
        </w:rPr>
        <w:t>Section 4.02(c)</w:t>
      </w:r>
      <w:r>
        <w:rPr>
          <w:rFonts w:ascii="Times New Roman" w:hAnsi="Times New Roman"/>
          <w:sz w:val="20"/>
        </w:rPr>
        <w:t xml:space="preserve"> of the Company Disclosure Letter, neither the Company nor any Company Subsidiary directly or indirectly owns or otherwise holds any Equity Interests of any other Person, and neither the Company nor any Company Subsidiary has any right or obligation (including contingent right or obligation) to obtain any such Equity Interests. Except as set forth in </w:t>
      </w:r>
      <w:r>
        <w:rPr>
          <w:rFonts w:ascii="Times New Roman" w:hAnsi="Times New Roman"/>
          <w:sz w:val="20"/>
          <w:u w:val="single"/>
        </w:rPr>
        <w:t>Section 4.02(c)</w:t>
      </w:r>
      <w:r>
        <w:rPr>
          <w:rFonts w:ascii="Times New Roman" w:hAnsi="Times New Roman"/>
          <w:sz w:val="20"/>
        </w:rPr>
        <w:t xml:space="preserve"> of the Company Disclosure Letter: (i) there are no outstanding obligations, preemptive rights, options, warrants, put, call, purchase rights, subscription rights, conversion rights, convertible instruments, exchange rights or other rights, arrangements, securities, Contracts, agreements or commitments of any kind directly or indirectly relating to Equity Interests in any Company Subsidiary or obligating any such Company Subsidiary to issue or sell, or make a payment the value of which is measured by reference to, any issued or unissued Equity Interests therein, and there are no Equity Interests in any Company Subsidiary reserved for issuance for any purpose; (ii) no Company Subsidiary has any contractual obligations (contingent or otherwise) to repurchase, redeem, or otherwise acquire any Equity Interests therein or to provide funds to or make any form of investment in any other Person; (iii) there are no trusts (including voting trusts), equityholder agreements, registration rights agreements, proxies, or other agreements, arrangements or understandings of any kind with respect to the voting or transfer of any Equity Interests in any Company Subsidiary, (iv) there are no equity appreciation, restricted stock, phantom equity, profit participation, or other compensatory equity or equity-based plans or programs in effect with respect to or measured by reference to Equity Interests in any Company Subsidiary and no such Company Subsidiary has any contractual obligation to grant, issue, or award any such incentive Equity Interests to any Person; (v) none of the issued and outstanding Equity Interests of any Company Subsidiary have been issued in violation of any preemptive rights, rights of first refusal, put or call rights or obligations or anti-dilution rights, or in violation of the Securities Act or any other applicable securities laws; and (vi) there have not been any claims by any current or former holders of Equity Interests in any Company Subsidiary against or involving such Company Subsidiary with respect to any equity or debt interests in such Company Subsidiary. The Company is not under any obligation to register under the Securities Act any of the Equity Interests in any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sz w:val="20"/>
          <w:u w:val="single"/>
        </w:rPr>
        <w:t>Authorization; Enforceability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has all requisite power and authority to execute and deliver each Transaction Document to which it is or is contemplated to be a party, to perform its obligations thereunder and to consummate the Transactions to which it is a party. The execution and delivery by the Company of each Transaction Document to which it is or is contemplated to be a party and the consummation by the Company of the Transactions to which it is a party have been duly authorized by Seller and the Board of Directors or other governing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body of the Company and no other corporate proceeding on the part of the Company is necessary to authorize the Transaction Documents to which it is or is contemplated to be a party or the consummation of the Transactions. The Company has duly executed and delivered this Agreement, and, assuming due authorization, execution and delivery by the other Parties, this Agreement constitutes its legal, valid and binding obligation, enforceable against the Company in accordance with its terms (except insofar as such enforceability may be limited by applicable bankruptcy, insolvency, reorganization, moratorium or similar Laws affecting creditors’ rights generally, or by principles governing the availability of equitable remedies). Upon the execution and delivery by the Company of each other Transaction Document to which it is or is contemplated to be a party, and, assuming due authorization, execution and delivery by the other Parties thereto, each other Transaction Document to which it is or is contemplated to be a party will constitute its legal, valid and binding obligation, enforceable against it in accordance with its terms (except insofar as such enforceability may be limited by applicable bankruptcy, insolvency, reorganization, moratorium or similar Laws affecting creditors’ rights generally, or by principles governing the availability of equitable remedies). </w:t>
      </w:r>
    </w:p>
    <w:p>
      <w:pPr>
        <w:pStyle w:val="TextBody"/>
        <w:bidi w:val="0"/>
        <w:spacing w:before="240" w:after="0"/>
        <w:jc w:val="left"/>
        <w:rPr>
          <w:rFonts w:ascii="Times New Roman" w:hAnsi="Times New Roman"/>
          <w:sz w:val="20"/>
        </w:rPr>
      </w:pPr>
      <w:r>
        <w:rPr>
          <w:rFonts w:ascii="Times New Roman" w:hAnsi="Times New Roman"/>
          <w:sz w:val="20"/>
        </w:rPr>
        <w:t xml:space="preserve">Section 4.04. </w:t>
      </w:r>
      <w:r>
        <w:rPr>
          <w:rFonts w:ascii="Times New Roman" w:hAnsi="Times New Roman"/>
          <w:sz w:val="20"/>
          <w:u w:val="single"/>
        </w:rPr>
        <w:t>Governmental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 action by (including any notification to, authorization by, Consent or approval of, or receipt of any Governmental Approval or Permit of), or in respect of, or filing with, any Governmental Authority is required by or on behalf of the Company or in respect of the Company, or in connection with, (i) the valid and lawful authorization, execution, delivery and performance by the Company of this Agreement or any Transaction Document to which it is (or with respect to Transaction Documents to be entered into at the Closing, will be) a party or (ii) the consummation of the Transactions, except in each case for (A) filings under the HSR Act or Governmental Approval under or required by any other applicable Laws set forth on </w:t>
      </w:r>
      <w:r>
        <w:rPr>
          <w:rFonts w:ascii="Times New Roman" w:hAnsi="Times New Roman"/>
          <w:sz w:val="20"/>
          <w:u w:val="single"/>
        </w:rPr>
        <w:t>Section 4.04(a)</w:t>
      </w:r>
      <w:r>
        <w:rPr>
          <w:rFonts w:ascii="Times New Roman" w:hAnsi="Times New Roman"/>
          <w:sz w:val="20"/>
        </w:rPr>
        <w:t xml:space="preserve"> of the Company Disclosure Letter, (B) filing of the First Certificate of Merger and the Second Certificates of Merger with the Secretaries of State of the States of Delaware and Nevada, as applicable, (C) the Canadian Regulatory Notifications and (D) such actions or filings that the failure to take or make, as the case may be, would not, individually or in the aggregate, be material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(b) Neither the aggregate value of the assets in Canada that are owned by the Company Group, nor the gross revenues from sales in, from or into Canada generated by the Company Group, exceeds CAD $93,000,000, all as determined in accordance with Part IX of the </w:t>
      </w:r>
      <w:r>
        <w:rPr>
          <w:rFonts w:ascii="Times New Roman" w:hAnsi="Times New Roman"/>
          <w:i/>
          <w:sz w:val="20"/>
        </w:rPr>
        <w:t>Competition Act</w:t>
      </w:r>
      <w:r>
        <w:rPr>
          <w:rFonts w:ascii="Times New Roman" w:hAnsi="Times New Roman"/>
          <w:sz w:val="20"/>
        </w:rPr>
        <w:t xml:space="preserve"> (Canada) and the Notifiable Transactions Regulations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4.05. </w:t>
      </w:r>
      <w:r>
        <w:rPr>
          <w:rFonts w:ascii="Times New Roman" w:hAnsi="Times New Roman"/>
          <w:sz w:val="20"/>
          <w:u w:val="single"/>
        </w:rPr>
        <w:t>Noncontravention</w:t>
      </w:r>
      <w:r>
        <w:rPr>
          <w:rFonts w:ascii="Times New Roman" w:hAnsi="Times New Roman"/>
          <w:sz w:val="20"/>
        </w:rPr>
        <w:t xml:space="preserve">. Except as set forth on </w:t>
      </w:r>
      <w:r>
        <w:rPr>
          <w:rFonts w:ascii="Times New Roman" w:hAnsi="Times New Roman"/>
          <w:sz w:val="20"/>
          <w:u w:val="single"/>
        </w:rPr>
        <w:t>Section 4.05</w:t>
      </w:r>
      <w:r>
        <w:rPr>
          <w:rFonts w:ascii="Times New Roman" w:hAnsi="Times New Roman"/>
          <w:sz w:val="20"/>
        </w:rPr>
        <w:t xml:space="preserve"> of the Company Disclosure Letter, neither the authorization, execution, delivery or performance by the Company of this Agreement or any Transaction Document to which it is (or with respect to Transaction Documents to be entered into at the Closing, will be) a party, nor the consummation of the Transactions, will: </w:t>
      </w:r>
    </w:p>
    <w:p>
      <w:pPr>
        <w:pStyle w:val="TextBody"/>
        <w:bidi w:val="0"/>
        <w:spacing w:before="240" w:after="0"/>
        <w:jc w:val="left"/>
        <w:rPr>
          <w:rFonts w:ascii="Times New Roman" w:hAnsi="Times New Roman"/>
          <w:sz w:val="20"/>
        </w:rPr>
      </w:pPr>
      <w:r>
        <w:rPr>
          <w:rFonts w:ascii="Times New Roman" w:hAnsi="Times New Roman"/>
          <w:sz w:val="20"/>
        </w:rPr>
        <w:t xml:space="preserve">(a) result in any material breach or violation of, or constitute a material default (or an event which, with or without notice or lapse of time or both, would constitute a default) under, any applicable Law, Governmental Order or Permit applicable to the Company, any Company Subsidiary or their respective properties or assets or the Company Business; </w:t>
      </w:r>
    </w:p>
    <w:p>
      <w:pPr>
        <w:pStyle w:val="TextBody"/>
        <w:bidi w:val="0"/>
        <w:spacing w:before="240" w:after="0"/>
        <w:jc w:val="left"/>
        <w:rPr>
          <w:rFonts w:ascii="Times New Roman" w:hAnsi="Times New Roman"/>
          <w:sz w:val="20"/>
        </w:rPr>
      </w:pPr>
      <w:r>
        <w:rPr>
          <w:rFonts w:ascii="Times New Roman" w:hAnsi="Times New Roman"/>
          <w:sz w:val="20"/>
        </w:rPr>
        <w:t xml:space="preserve">(b) conflict with, result in a breach or violation of, or constitute a default (or an event which, with or without notice or lapse of time or both, would constitute a default) under, the Organizational Documents of the Company or any Company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conflict with, result in a breach or violation of, or constitute a default (or an event which, with or without notice or lapse of time or both, would constitute a default) under, or result in termination (or a right of termination or cancellation) of, or accelerate the performance required by, or give rise to a right of payment under, or result in a loss of any right under, any of the terms, conditions or provisions of any Contract to which the Company or any Company Subsidiary is a party, or by which any of their respective properties or assets or the Company Business is bound, except for any such matters that, individually or in the aggregate, would not reasonably be expected to be material to the Company or any Company Subsidiary taken as a whole; or </w:t>
      </w:r>
    </w:p>
    <w:p>
      <w:pPr>
        <w:pStyle w:val="TextBody"/>
        <w:bidi w:val="0"/>
        <w:spacing w:before="240" w:after="0"/>
        <w:jc w:val="left"/>
        <w:rPr>
          <w:rFonts w:ascii="Times New Roman" w:hAnsi="Times New Roman"/>
          <w:sz w:val="20"/>
        </w:rPr>
      </w:pPr>
      <w:r>
        <w:rPr>
          <w:rFonts w:ascii="Times New Roman" w:hAnsi="Times New Roman"/>
          <w:sz w:val="20"/>
        </w:rPr>
        <w:t xml:space="preserve">(d) result in the creation of any Lien on any Company Assets or the Company Units, except for any such Lien that, individually or in the aggregate, would not reasonably be expected to be material to the Company or any Company Subsidiary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Section 4.06. </w:t>
      </w:r>
      <w:r>
        <w:rPr>
          <w:rFonts w:ascii="Times New Roman" w:hAnsi="Times New Roman"/>
          <w:sz w:val="20"/>
          <w:u w:val="single"/>
        </w:rPr>
        <w:t>Financial Matters; Undisclosed Liabilities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Financial Statements</w:t>
      </w:r>
      <w:r>
        <w:rPr>
          <w:rFonts w:ascii="Times New Roman" w:hAnsi="Times New Roman"/>
          <w:sz w:val="20"/>
        </w:rPr>
        <w:t xml:space="preserve">. Attached to </w:t>
      </w:r>
      <w:r>
        <w:rPr>
          <w:rFonts w:ascii="Times New Roman" w:hAnsi="Times New Roman"/>
          <w:sz w:val="20"/>
          <w:u w:val="single"/>
        </w:rPr>
        <w:t>Section 4.06(a)</w:t>
      </w:r>
      <w:r>
        <w:rPr>
          <w:rFonts w:ascii="Times New Roman" w:hAnsi="Times New Roman"/>
          <w:sz w:val="20"/>
        </w:rPr>
        <w:t xml:space="preserve"> of the Company Disclosure Letter are the true, complete and correct copies of each of the following (the “</w:t>
      </w:r>
      <w:r>
        <w:rPr>
          <w:rFonts w:ascii="Times New Roman" w:hAnsi="Times New Roman"/>
          <w:sz w:val="20"/>
          <w:u w:val="single"/>
        </w:rPr>
        <w:t>Financials</w:t>
      </w:r>
      <w:r>
        <w:rPr>
          <w:rFonts w:ascii="Times New Roman" w:hAnsi="Times New Roman"/>
          <w:sz w:val="20"/>
        </w:rPr>
        <w:t>”): (i) the audited balance sheet of the Company Group as of December 31, 2024 and December 31, 2025 and the related audited statements of members’ equity, and income and cash flows for the fiscal years then ended, and (ii) the unaudited balance sheet of the Company Group as of September 30, 2026 (the “</w:t>
      </w:r>
      <w:r>
        <w:rPr>
          <w:rFonts w:ascii="Times New Roman" w:hAnsi="Times New Roman"/>
          <w:sz w:val="20"/>
          <w:u w:val="single"/>
        </w:rPr>
        <w:t>Balance Sheet Date</w:t>
      </w:r>
      <w:r>
        <w:rPr>
          <w:rFonts w:ascii="Times New Roman" w:hAnsi="Times New Roman"/>
          <w:sz w:val="20"/>
        </w:rPr>
        <w:t>”, and such balance sheet, the “</w:t>
      </w:r>
      <w:r>
        <w:rPr>
          <w:rFonts w:ascii="Times New Roman" w:hAnsi="Times New Roman"/>
          <w:sz w:val="20"/>
          <w:u w:val="single"/>
        </w:rPr>
        <w:t>Most Recent Balance Sheet</w:t>
      </w:r>
      <w:r>
        <w:rPr>
          <w:rFonts w:ascii="Times New Roman" w:hAnsi="Times New Roman"/>
          <w:sz w:val="20"/>
        </w:rPr>
        <w:t>”), and the related unaudited statements of members’ equity, and income and cash flows for the nine (9) months then ended (together with the Most Recent Balance Sheet, the “</w:t>
      </w:r>
      <w:r>
        <w:rPr>
          <w:rFonts w:ascii="Times New Roman" w:hAnsi="Times New Roman"/>
          <w:sz w:val="20"/>
          <w:u w:val="single"/>
        </w:rPr>
        <w:t>Most Recent Financials</w:t>
      </w:r>
      <w:r>
        <w:rPr>
          <w:rFonts w:ascii="Times New Roman" w:hAnsi="Times New Roman"/>
          <w:sz w:val="20"/>
        </w:rPr>
        <w:t xml:space="preserve">”). The Financials have been derived from the books and records of the Company Group, have been prepared in accordance with GAAP and fairly present, in all material respects, the financial position and results of the operations of the Company Group as of the dates and for the periods referred to therein (subject, in the case of the unaudited Financials, to the absence of footnotes and to normal year-end adjustments required by GAAP).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Financial Controls</w:t>
      </w:r>
      <w:r>
        <w:rPr>
          <w:rFonts w:ascii="Times New Roman" w:hAnsi="Times New Roman"/>
          <w:sz w:val="20"/>
        </w:rPr>
        <w:t xml:space="preserve">. The Company Group has established, maintained and adhered to a system of internal controls designed and intended to provide reasonable assurances that (i) transactions receipts and expenditures of the Company Group are being executed and made only in accordance with appropriate authorizations of management, (ii) that transactions are recorded as necessary (A) to permit preparation of financial statements in conformity with GAAP, and (B) to maintain accountability for assets, (iii) regarding prevention or timely detection of unauthorized acquisition, use or disposition of the assets of the Company Group, (iv) that the amount recorded for assets on the books and records of the Company Group are compared with the existing assets at reasonable intervals and appropriate action is taken with respect to any differences, and (v) that accounts, notes and other receivables and inventory are recorded accurately, and proper and adequate procedures are implemented to effect the collection thereof on a current and timely basis. There has never been (1) any deficiency or weakness in any system of internal accounting controls used by the Company Group, (2) any Fraud or other wrongdoing that involves any of the management or other employees of the Company Group who have a role in the preparation of the financial statements or the internal accounting controls used by the Company Group, or (3) any claim or allegation regarding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Undisclosed Liabilities</w:t>
      </w:r>
      <w:r>
        <w:rPr>
          <w:rFonts w:ascii="Times New Roman" w:hAnsi="Times New Roman"/>
          <w:sz w:val="20"/>
        </w:rPr>
        <w:t xml:space="preserve">. The Company Group does not have any Liabilities except for (i) Liabilities expressly set forth in the face of the Financials, (ii) Liabilities that have arisen since the Balance Sheet Date in the Ordinary Course of Business, or (iii) any other Liabilities that would not, individually or in the aggregate, reasonably be expected to be material to the Company or any Company Subsidiary taken as a whole. No member of the Company Group is a party to, or has any commitment to become a party to, any “off balance sheet arrangement” or similar Contract where the purpose is to avoid disclosure of any material transaction involving, or material liabilities of, any member of the Company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PPP Loans</w:t>
      </w:r>
      <w:r>
        <w:rPr>
          <w:rFonts w:ascii="Times New Roman" w:hAnsi="Times New Roman"/>
          <w:sz w:val="20"/>
        </w:rPr>
        <w:t xml:space="preserve">. Each member of the Company Group has repaid in full all paycheck protection program promissory notes, plus any related accrued and unpaid interest, fees, and prepayment premiums or penalties, if any, received pursuant to the CARES Act or any similar applicable federal, state, or local Law. </w:t>
      </w:r>
    </w:p>
    <w:p>
      <w:pPr>
        <w:pStyle w:val="TextBody"/>
        <w:bidi w:val="0"/>
        <w:spacing w:before="240" w:after="0"/>
        <w:jc w:val="left"/>
        <w:rPr>
          <w:rFonts w:ascii="Times New Roman" w:hAnsi="Times New Roman"/>
          <w:sz w:val="20"/>
        </w:rPr>
      </w:pPr>
      <w:r>
        <w:rPr>
          <w:rFonts w:ascii="Times New Roman" w:hAnsi="Times New Roman"/>
          <w:sz w:val="20"/>
        </w:rPr>
        <w:t xml:space="preserve">Section 4.07. </w:t>
      </w:r>
      <w:r>
        <w:rPr>
          <w:rFonts w:ascii="Times New Roman" w:hAnsi="Times New Roman"/>
          <w:sz w:val="20"/>
          <w:u w:val="single"/>
        </w:rPr>
        <w:t>Absence of Certain Changes or Events</w:t>
      </w:r>
      <w:r>
        <w:rPr>
          <w:rFonts w:ascii="Times New Roman" w:hAnsi="Times New Roman"/>
          <w:sz w:val="20"/>
        </w:rPr>
        <w:t xml:space="preserve">. Except as set forth on </w:t>
      </w:r>
      <w:r>
        <w:rPr>
          <w:rFonts w:ascii="Times New Roman" w:hAnsi="Times New Roman"/>
          <w:sz w:val="20"/>
          <w:u w:val="single"/>
        </w:rPr>
        <w:t>Section 4.07</w:t>
      </w:r>
      <w:r>
        <w:rPr>
          <w:rFonts w:ascii="Times New Roman" w:hAnsi="Times New Roman"/>
          <w:sz w:val="20"/>
        </w:rPr>
        <w:t xml:space="preserve"> of the Company Disclosure Letter, since July 31, 2026: </w:t>
      </w:r>
    </w:p>
    <w:p>
      <w:pPr>
        <w:pStyle w:val="TextBody"/>
        <w:bidi w:val="0"/>
        <w:spacing w:before="240" w:after="0"/>
        <w:jc w:val="left"/>
        <w:rPr>
          <w:rFonts w:ascii="Times New Roman" w:hAnsi="Times New Roman"/>
          <w:sz w:val="20"/>
        </w:rPr>
      </w:pPr>
      <w:r>
        <w:rPr>
          <w:rFonts w:ascii="Times New Roman" w:hAnsi="Times New Roman"/>
          <w:sz w:val="20"/>
        </w:rPr>
        <w:t xml:space="preserve">(a) there has not been a Company Material Adverse Effect or any effect, change, event or occurrence that, individually or in the aggregate, would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except in connection with execution and performance of this Agreement, the other Transaction Documents or the Transactions, and the discussions and negotiations related thereto, the Company Business has been carried on and conducted in all material respects in the Ordinary Course of Business; and </w:t>
      </w:r>
    </w:p>
    <w:p>
      <w:pPr>
        <w:pStyle w:val="TextBody"/>
        <w:bidi w:val="0"/>
        <w:spacing w:before="240" w:after="0"/>
        <w:jc w:val="left"/>
        <w:rPr>
          <w:rFonts w:ascii="Times New Roman" w:hAnsi="Times New Roman"/>
          <w:sz w:val="20"/>
        </w:rPr>
      </w:pPr>
      <w:r>
        <w:rPr>
          <w:rFonts w:ascii="Times New Roman" w:hAnsi="Times New Roman"/>
          <w:sz w:val="20"/>
        </w:rPr>
        <w:t xml:space="preserve">(c) no member of the Company Group has: </w:t>
      </w:r>
    </w:p>
    <w:p>
      <w:pPr>
        <w:pStyle w:val="TextBody"/>
        <w:bidi w:val="0"/>
        <w:spacing w:before="240" w:after="0"/>
        <w:jc w:val="left"/>
        <w:rPr>
          <w:rFonts w:ascii="Times New Roman" w:hAnsi="Times New Roman"/>
          <w:sz w:val="20"/>
        </w:rPr>
      </w:pPr>
      <w:r>
        <w:rPr>
          <w:rFonts w:ascii="Times New Roman" w:hAnsi="Times New Roman"/>
          <w:sz w:val="20"/>
        </w:rPr>
        <w:t xml:space="preserve">(i) (A) issued, granted, transferred, encumbered, split, combined, subdivided, reclassified, sold, redeemed, or otherwise disposed of or acquired any Equity Interests of any member of the Company Group, (B) established a record date for, approved, declared, set aside for payment or paid any dividends or made any other distributions in respect of Equity Interests of any member of the Company Group, or (C) adopted a plan or agreement of complete or partial liquidation, dissolution, merger, consolidation, restructuring, recapitalization or other material reorganization, or effected any reclassification, stock split or combination or similar change in capitalization; </w:t>
      </w:r>
    </w:p>
    <w:p>
      <w:pPr>
        <w:pStyle w:val="TextBody"/>
        <w:bidi w:val="0"/>
        <w:spacing w:before="240" w:after="0"/>
        <w:jc w:val="left"/>
        <w:rPr>
          <w:rFonts w:ascii="Times New Roman" w:hAnsi="Times New Roman"/>
          <w:sz w:val="20"/>
        </w:rPr>
      </w:pPr>
      <w:r>
        <w:rPr>
          <w:rFonts w:ascii="Times New Roman" w:hAnsi="Times New Roman"/>
          <w:sz w:val="20"/>
        </w:rPr>
        <w:t xml:space="preserve">(ii) modified, amended or waived any material term under the Organizational Documents of any member of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(iii) sold, transferred, licensed, leased, subleased, or otherwise disposed of, including by entering or terminating any lease with respect to, in a single transaction or a series of related transactions, directly or indirectly, any interests in real property owned or leased by a member of the Company Group or otherwise used in the conduct of the Company Business, except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(iv) sold, transferred or otherwise disposed of, including by entering any license with respect to, in a single transaction or a series of related transactions, any tangible property or asset, including any Inventory (other than, for the avoidance of doubt, sales, transfers or dispositions of Inventory in the Ordinary Course of Business) of the Company Business, except for dispositions of obsolete or worn-out assets that are no longer used or useful in the operation or conduct of the Company Business; </w:t>
      </w:r>
    </w:p>
    <w:p>
      <w:pPr>
        <w:pStyle w:val="TextBody"/>
        <w:bidi w:val="0"/>
        <w:spacing w:before="240" w:after="0"/>
        <w:jc w:val="left"/>
        <w:rPr>
          <w:rFonts w:ascii="Times New Roman" w:hAnsi="Times New Roman"/>
          <w:sz w:val="20"/>
        </w:rPr>
      </w:pPr>
      <w:r>
        <w:rPr>
          <w:rFonts w:ascii="Times New Roman" w:hAnsi="Times New Roman"/>
          <w:sz w:val="20"/>
        </w:rPr>
        <w:t xml:space="preserve">(v) acquired (by merger, consolidation, acquisition of stock or assets, or otherwise), in a single transaction or a series of related transactions, any corporation, partnership, or other business organization or Person or any property or assets of any Person, other than acquisitions of inventory, equipment, or other similar assets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sold, assigned, transferred, subjected to any Lien (other than a Company Permitted Lien), leased, licensed, canceled, abandoned, failed to maintain or enforce, or allowed to lapse or expire, or otherwise disposed of any Company Intellectual Property, or taken any action or failed to take any action, if such action or failure to take any such action would reasonably be likely to result in the loss, lapse, abandonment, invalidity or unenforceability of any Company Intellectual Property, in each case, except for the disposal of any Company Registered Intellectual Property at the end of its statutory life or non-exclusive licenses or sublicenses granted in the Ordinary Course of Business, or actions taken in the Ordinary Course of Business to maintain, protect, or enforce Company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(vii) modified in any material respect any of its policies related to Privacy and Data Security Requirements, or any administrative, technical, or physical safeguards related to privacy or data security of any member of the Company Group, except (A) to remediate any security issue, (B) to enhance data security or integrity, (C) to comply with Privacy and Data Security Requirements, or (D) as otherwise directed or required by a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(viii) entered into, negotiated, modified or terminated or agreed to enter into, negotiate, modify or terminate any Labor Agreement; </w:t>
      </w:r>
    </w:p>
    <w:p>
      <w:pPr>
        <w:pStyle w:val="TextBody"/>
        <w:bidi w:val="0"/>
        <w:spacing w:before="240" w:after="0"/>
        <w:jc w:val="left"/>
        <w:rPr>
          <w:rFonts w:ascii="Times New Roman" w:hAnsi="Times New Roman"/>
          <w:sz w:val="20"/>
        </w:rPr>
      </w:pPr>
      <w:r>
        <w:rPr>
          <w:rFonts w:ascii="Times New Roman" w:hAnsi="Times New Roman"/>
          <w:sz w:val="20"/>
        </w:rPr>
        <w:t xml:space="preserve">(ix) other than as expressly required by any Company Benefit Plan or Canada Benefit Plan, (A) entered into, adopted, established, terminated, or materially amended, any Company Benefit Plan or Canada Benefit Plan (other than entry into at-will offer letters with new Company Employees in the Ordinary Course of Business consistent with past practice); (B) granted any deferred compensation, change in control, transaction, retention, sale bonus or similar compensatory arrangement; (C) taken any action to accelerate the vesting or payment, or otherwise fund or segregate payment of, any compensation or benefit under any Company Benefit Plan; or (D) hired, engaged or terminated (other than for cause or disability) any employee or individual independent contractor earning an annual base compensation of at least $200,000; </w:t>
      </w:r>
    </w:p>
    <w:p>
      <w:pPr>
        <w:pStyle w:val="TextBody"/>
        <w:bidi w:val="0"/>
        <w:spacing w:before="240" w:after="0"/>
        <w:jc w:val="left"/>
        <w:rPr>
          <w:rFonts w:ascii="Times New Roman" w:hAnsi="Times New Roman"/>
          <w:sz w:val="20"/>
        </w:rPr>
      </w:pPr>
      <w:r>
        <w:rPr>
          <w:rFonts w:ascii="Times New Roman" w:hAnsi="Times New Roman"/>
          <w:sz w:val="20"/>
        </w:rPr>
        <w:t xml:space="preserve">(x) increased the compensation or benefits of any former or current Company Employee or individual independent contractor, other than with respect to increases made in the Ordinary Course of Business for employees whose annual base compensation would not exceed $200,000; </w:t>
      </w:r>
    </w:p>
    <w:p>
      <w:pPr>
        <w:pStyle w:val="TextBody"/>
        <w:bidi w:val="0"/>
        <w:spacing w:before="240" w:after="0"/>
        <w:jc w:val="left"/>
        <w:rPr>
          <w:rFonts w:ascii="Times New Roman" w:hAnsi="Times New Roman"/>
          <w:sz w:val="20"/>
        </w:rPr>
      </w:pPr>
      <w:r>
        <w:rPr>
          <w:rFonts w:ascii="Times New Roman" w:hAnsi="Times New Roman"/>
          <w:sz w:val="20"/>
        </w:rPr>
        <w:t xml:space="preserve">(xi) incurred any Indebtedness, guaranteed or otherwise become contingently liable for any Indebtedness of another Person, or entered into any “keep well” or other agreement to maintain any financial statement condition of another Person; </w:t>
      </w:r>
    </w:p>
    <w:p>
      <w:pPr>
        <w:pStyle w:val="TextBody"/>
        <w:bidi w:val="0"/>
        <w:spacing w:before="240" w:after="0"/>
        <w:jc w:val="left"/>
        <w:rPr>
          <w:rFonts w:ascii="Times New Roman" w:hAnsi="Times New Roman"/>
          <w:sz w:val="20"/>
        </w:rPr>
      </w:pPr>
      <w:r>
        <w:rPr>
          <w:rFonts w:ascii="Times New Roman" w:hAnsi="Times New Roman"/>
          <w:sz w:val="20"/>
        </w:rPr>
        <w:t xml:space="preserve">(xii) encumbered or subjected material Company Assets to any Liens other than Company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(xiii) (A) made any loan, advance or capital contribution to, or investment in, any Person, or (B) authorized or made any capital expenditure in an amount, individually or in the aggregate, in excess of $500,000 in any fiscal year, in the case of each of clauses (A) and (B), except as in response to any bona fide casualty loss or property damage; </w:t>
      </w:r>
    </w:p>
    <w:p>
      <w:pPr>
        <w:pStyle w:val="TextBody"/>
        <w:bidi w:val="0"/>
        <w:spacing w:before="240" w:after="0"/>
        <w:jc w:val="left"/>
        <w:rPr>
          <w:rFonts w:ascii="Times New Roman" w:hAnsi="Times New Roman"/>
          <w:sz w:val="20"/>
        </w:rPr>
      </w:pPr>
      <w:r>
        <w:rPr>
          <w:rFonts w:ascii="Times New Roman" w:hAnsi="Times New Roman"/>
          <w:sz w:val="20"/>
        </w:rPr>
        <w:t xml:space="preserve">(xiv) made any material change in its financial accounting methods, principles and practices in effect on the Balance Sheet Date in any material respect, except as may be required by a change in GAAP after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 (A) made, changed or revoked any material Tax election (including any “domestic use election” pursuant to Treasury Regulations Section 1.1503(d)-6), (B) filed any material amended Tax Return, (C) settled or compromised any material Tax liability, (D) surrendered any right to claim a material Tax refund, (E) waived or extended any statute of limitations relating to any material Tax or material Tax Return, (F) entered into any voluntary disclosure agreement or program with any Governmental Authority implicating any material Taxes, (G) entered into any “closing agreement” as described in Section 7121 of the Code (or any similar agreement under state, local or foreign Law) with respect to a material Tax liability or (H) changed any material Tax accounting period or any method of Tax accounting; </w:t>
      </w:r>
    </w:p>
    <w:p>
      <w:pPr>
        <w:pStyle w:val="TextBody"/>
        <w:bidi w:val="0"/>
        <w:spacing w:before="240" w:after="0"/>
        <w:jc w:val="left"/>
        <w:rPr>
          <w:rFonts w:ascii="Times New Roman" w:hAnsi="Times New Roman"/>
          <w:sz w:val="20"/>
        </w:rPr>
      </w:pPr>
      <w:r>
        <w:rPr>
          <w:rFonts w:ascii="Times New Roman" w:hAnsi="Times New Roman"/>
          <w:sz w:val="20"/>
        </w:rPr>
        <w:t xml:space="preserve">(xvi) commenced any Action or compromised, settled, discharged, waived or come to an arrangement regarding any pending or threatened Action, except in each case that involve the payment of monetary damages which do not exceed $500,000 individually and do not involve equitable relief or other non-monetary obligations; </w:t>
      </w:r>
    </w:p>
    <w:p>
      <w:pPr>
        <w:pStyle w:val="TextBody"/>
        <w:bidi w:val="0"/>
        <w:spacing w:before="240" w:after="0"/>
        <w:jc w:val="left"/>
        <w:rPr>
          <w:rFonts w:ascii="Times New Roman" w:hAnsi="Times New Roman"/>
          <w:sz w:val="20"/>
        </w:rPr>
      </w:pPr>
      <w:r>
        <w:rPr>
          <w:rFonts w:ascii="Times New Roman" w:hAnsi="Times New Roman"/>
          <w:sz w:val="20"/>
        </w:rPr>
        <w:t xml:space="preserve">(xvii) engaged in or entered into any line of business unrelated in any material respect to the Company Business, or made any material change in the lines of business conducted by the Company Group as of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(xviii) amended, extended, renewed or permitted to lapse any material insurance policy held by any member of the Company Group, or entered into new insurance policies binding on any member of the Company Group or the Company Business, except in either case on such terms and for such amounts as is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(xix) amended, modified, terminated, surrendered, allowed to lapse or failed to renew any material Permit, or taken any action, or failed to take any action, that would reasonably be expected to result in the revocation, suspension, lapse or non-renewal of any material Permit, other than renewals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(xx) entered into, amended, accelerated, canceled, failed to exercise an expiring renewal option, granted a material waiver under or modified in any material respect, terminated or transferred to any person (other than another member of the Company Group) any Company Material Contract, or any Contract that would constitute a Company Material Contract if in effect as of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(xxi) amended, modified or terminated any Lease Agreement or taken any action in violation thereof other than the expiration or renewal thereof in each case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(xxii) engaged in, effectuated, or implemented any reduction in force, facility closure or mass layoff, or taken any other action that would trigger the WARN Act; </w:t>
      </w:r>
    </w:p>
    <w:p>
      <w:pPr>
        <w:pStyle w:val="TextBody"/>
        <w:bidi w:val="0"/>
        <w:spacing w:before="240" w:after="0"/>
        <w:jc w:val="left"/>
        <w:rPr>
          <w:rFonts w:ascii="Times New Roman" w:hAnsi="Times New Roman"/>
          <w:sz w:val="20"/>
        </w:rPr>
      </w:pPr>
      <w:r>
        <w:rPr>
          <w:rFonts w:ascii="Times New Roman" w:hAnsi="Times New Roman"/>
          <w:sz w:val="20"/>
        </w:rPr>
        <w:t xml:space="preserve">(xxiii) amended or otherwise entered into any Related Party Arrangement; or </w:t>
      </w:r>
    </w:p>
    <w:p>
      <w:pPr>
        <w:pStyle w:val="TextBody"/>
        <w:bidi w:val="0"/>
        <w:spacing w:before="240" w:after="0"/>
        <w:jc w:val="left"/>
        <w:rPr>
          <w:rFonts w:ascii="Times New Roman" w:hAnsi="Times New Roman"/>
          <w:sz w:val="20"/>
        </w:rPr>
      </w:pPr>
      <w:r>
        <w:rPr>
          <w:rFonts w:ascii="Times New Roman" w:hAnsi="Times New Roman"/>
          <w:sz w:val="20"/>
        </w:rPr>
        <w:t xml:space="preserve">(xxiv) authorized any of, or committed or agreed to take any of, the foregoing 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4.08. </w:t>
      </w:r>
      <w:r>
        <w:rPr>
          <w:rFonts w:ascii="Times New Roman" w:hAnsi="Times New Roman"/>
          <w:sz w:val="20"/>
          <w:u w:val="single"/>
        </w:rPr>
        <w:t>Taxes</w:t>
      </w:r>
      <w:r>
        <w:rPr>
          <w:rFonts w:ascii="Times New Roman" w:hAnsi="Times New Roman"/>
          <w:sz w:val="20"/>
        </w:rPr>
        <w:t xml:space="preserve">. Except as set forth in </w:t>
      </w:r>
      <w:r>
        <w:rPr>
          <w:rFonts w:ascii="Times New Roman" w:hAnsi="Times New Roman"/>
          <w:sz w:val="20"/>
          <w:u w:val="single"/>
        </w:rPr>
        <w:t>Section 4.08</w:t>
      </w:r>
      <w:r>
        <w:rPr>
          <w:rFonts w:ascii="Times New Roman" w:hAnsi="Times New Roman"/>
          <w:sz w:val="20"/>
        </w:rPr>
        <w:t xml:space="preserve"> of the Company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(a) All Tax Returns required to be filed by or on behalf of the Company Group have been timely and properly filed and each such Tax Return is true, correct and complete in all material respects. All Taxes owed by the Company Group, whether or not shown on any Tax Return as due, have been timely paid to the appropriate Governmental Authority, excluding any Taxes being contested in good faith by appropriate proceedings and for which adequate reserves have been established in accordance with GAAP. No member of the Company Group currently is the beneficiary of any extension of time within which to file any Tax Return or pay any Tax (other than any automatic extension of time to file a Tax Return obtained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(b) No Liens for Taxes (other than Company Permitted Liens) exist with respect to any member of the Company Group or any of their respective assets. </w:t>
      </w:r>
    </w:p>
    <w:p>
      <w:pPr>
        <w:pStyle w:val="TextBody"/>
        <w:bidi w:val="0"/>
        <w:spacing w:before="240" w:after="0"/>
        <w:jc w:val="left"/>
        <w:rPr>
          <w:rFonts w:ascii="Times New Roman" w:hAnsi="Times New Roman"/>
          <w:sz w:val="20"/>
        </w:rPr>
      </w:pPr>
      <w:r>
        <w:rPr>
          <w:rFonts w:ascii="Times New Roman" w:hAnsi="Times New Roman"/>
          <w:sz w:val="20"/>
        </w:rPr>
        <w:t xml:space="preserve">(c) The unpaid Taxes of the Company Group (i) did not, as of the Balance Sheet Date, exceed the reserve for Tax Liability (excluding any reserve for deferred Taxes established to reflect timing differences between book and Tax income) set forth on the face of the Most Recent Balance Sheet (rather than in any notes thereto) and (ii) do not exceed such reserve as adjusted for the passage of time through the Closing Date in accordance with the past custom and practice of the Company Group in filing their Tax Returns. Since the Balance Sheet Date, no member of the Company Group has incurred any Liability for Taxes other than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(d) No audit or other Action with respect to Taxes or Tax Returns of any member of the Company Group is currently in progress or has been threatened in writing. No deficiency for any Taxes has been asserted or assessed by a Governmental Authority against any member of the Company Group that has not been settled, paid or withdrawn. </w:t>
      </w:r>
    </w:p>
    <w:p>
      <w:pPr>
        <w:pStyle w:val="TextBody"/>
        <w:bidi w:val="0"/>
        <w:spacing w:before="240" w:after="0"/>
        <w:jc w:val="left"/>
        <w:rPr>
          <w:rFonts w:ascii="Times New Roman" w:hAnsi="Times New Roman"/>
          <w:sz w:val="20"/>
        </w:rPr>
      </w:pPr>
      <w:r>
        <w:rPr>
          <w:rFonts w:ascii="Times New Roman" w:hAnsi="Times New Roman"/>
          <w:sz w:val="20"/>
        </w:rPr>
        <w:t xml:space="preserve">(e) No member of the Company Group has waived or extended any statute of limitations relating to any Tax or Tax Return, which waiver or extension is currently in effect. </w:t>
      </w:r>
    </w:p>
    <w:p>
      <w:pPr>
        <w:pStyle w:val="TextBody"/>
        <w:bidi w:val="0"/>
        <w:spacing w:before="240" w:after="0"/>
        <w:jc w:val="left"/>
        <w:rPr>
          <w:rFonts w:ascii="Times New Roman" w:hAnsi="Times New Roman"/>
          <w:sz w:val="20"/>
        </w:rPr>
      </w:pPr>
      <w:r>
        <w:rPr>
          <w:rFonts w:ascii="Times New Roman" w:hAnsi="Times New Roman"/>
          <w:sz w:val="20"/>
        </w:rPr>
        <w:t xml:space="preserve">(f) No member of the Company Group (i) has been a member of an affiliated group (or similar state, local or foreign filing group) filing a consolidated U.S. federal income Tax Return (or similar state, local or foreign Tax Return) other than such a group the common parent of which was Seller, or (ii) has any Liability for the Taxes of any Person (including Seller and any of its Affiliates) other than any member of the Company Group under Treasury Regulations Section 1.1502-6 (or any similar provision of state, local or foreign Law), as a transferee or successor, by assumption, by Contract, by operation of Law or otherwise. </w:t>
      </w:r>
    </w:p>
    <w:p>
      <w:pPr>
        <w:pStyle w:val="TextBody"/>
        <w:bidi w:val="0"/>
        <w:spacing w:before="240" w:after="0"/>
        <w:jc w:val="left"/>
        <w:rPr>
          <w:rFonts w:ascii="Times New Roman" w:hAnsi="Times New Roman"/>
          <w:sz w:val="20"/>
        </w:rPr>
      </w:pPr>
      <w:r>
        <w:rPr>
          <w:rFonts w:ascii="Times New Roman" w:hAnsi="Times New Roman"/>
          <w:sz w:val="20"/>
        </w:rPr>
        <w:t xml:space="preserve">(g) No member of the Company Group is a party to or bound by any agreement or arrangement the primary purpose of which relates to Taxes (other than such an agreement or arrangement exclusively between or among members of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(h) No member of the Company Group, nor any of their respective Affiliates or predecessors by merger or consolidation, has been a “distributing corporation” or a “controlled corporation” in a distribution intended to qualify in whole or in part for tax-free treatment under Section 355 of the Code or so much of Section 356 of the Code as relates to Section 355 of the Code (or any similar provisions of state, local or foreign Law). </w:t>
      </w:r>
    </w:p>
    <w:p>
      <w:pPr>
        <w:pStyle w:val="TextBody"/>
        <w:bidi w:val="0"/>
        <w:spacing w:before="240" w:after="0"/>
        <w:jc w:val="left"/>
        <w:rPr>
          <w:rFonts w:ascii="Times New Roman" w:hAnsi="Times New Roman"/>
          <w:sz w:val="20"/>
        </w:rPr>
      </w:pPr>
      <w:r>
        <w:rPr>
          <w:rFonts w:ascii="Times New Roman" w:hAnsi="Times New Roman"/>
          <w:sz w:val="20"/>
        </w:rPr>
        <w:t xml:space="preserve">(i) No member of the Company Group has been a party to or participated in any “reportable transaction,” as defined in Section 6707A(c)(1) of the Code and Treasury Regulations Section 1.6011-4(b), and all transactions for which any member of the Company Group could otherwise be liable for any penalty under Section 6662 of the Code have been disclosed to the 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The Company Group has (i) collected and remitted all material amounts of sales, value added and similar Taxes required to be collected and remitted by the Company Group pursuant to applicable Law with respect to sales made or services provided to its customers and (ii) received and retained all required Tax exemption certificates and other documentation for any sales made or services provided without charging or remitting sales, value added or similar Taxes that qualify as exempt from sales, value added and similar Taxes. </w:t>
      </w:r>
    </w:p>
    <w:p>
      <w:pPr>
        <w:pStyle w:val="TextBody"/>
        <w:bidi w:val="0"/>
        <w:spacing w:before="240" w:after="0"/>
        <w:jc w:val="left"/>
        <w:rPr>
          <w:rFonts w:ascii="Times New Roman" w:hAnsi="Times New Roman"/>
          <w:sz w:val="20"/>
        </w:rPr>
      </w:pPr>
      <w:r>
        <w:rPr>
          <w:rFonts w:ascii="Times New Roman" w:hAnsi="Times New Roman"/>
          <w:sz w:val="20"/>
        </w:rPr>
        <w:t xml:space="preserve">(k) No claim has been made in writing to any member of the Company Group by a Governmental Authority in a jurisdiction where a member of the Company Group does not file Tax Returns that any member of the Company Group is or may be subject to taxation by or required to file a Tax Return in that jurisdiction. </w:t>
      </w:r>
    </w:p>
    <w:p>
      <w:pPr>
        <w:pStyle w:val="TextBody"/>
        <w:bidi w:val="0"/>
        <w:spacing w:before="240" w:after="0"/>
        <w:jc w:val="left"/>
        <w:rPr>
          <w:rFonts w:ascii="Times New Roman" w:hAnsi="Times New Roman"/>
          <w:sz w:val="20"/>
        </w:rPr>
      </w:pPr>
      <w:r>
        <w:rPr>
          <w:rFonts w:ascii="Times New Roman" w:hAnsi="Times New Roman"/>
          <w:sz w:val="20"/>
        </w:rPr>
        <w:t xml:space="preserve">(l) No member of the Company Group is subject to taxation in any country, other than the country in which it was organized, by virtue of having a permanent establishment (within the meaning of an applicable income Tax treaty) or other fixed place of business in such other country. </w:t>
      </w:r>
    </w:p>
    <w:p>
      <w:pPr>
        <w:pStyle w:val="TextBody"/>
        <w:bidi w:val="0"/>
        <w:spacing w:before="240" w:after="0"/>
        <w:jc w:val="left"/>
        <w:rPr>
          <w:rFonts w:ascii="Times New Roman" w:hAnsi="Times New Roman"/>
          <w:sz w:val="20"/>
        </w:rPr>
      </w:pPr>
      <w:r>
        <w:rPr>
          <w:rFonts w:ascii="Times New Roman" w:hAnsi="Times New Roman"/>
          <w:sz w:val="20"/>
        </w:rPr>
        <w:t xml:space="preserve">(m) Each member of the Company Group (i) has deducted and withheld from all employees, customers, independent contractors, creditors, members and any other applicable payees proper and accurate amounts for all taxable periods in compliance with all Tax withholding provisions of applicable federal, state, provincial, local and foreign laws, (ii) has remitted, or will remit on a timely basis, such amounts required to be remitted to the appropriate Governmental Authority and (iii) has complied in all material respects with all applicable Laws relating to the payment, reporting and withholding of Taxes. </w:t>
      </w:r>
    </w:p>
    <w:p>
      <w:pPr>
        <w:pStyle w:val="TextBody"/>
        <w:bidi w:val="0"/>
        <w:spacing w:before="240" w:after="0"/>
        <w:jc w:val="left"/>
        <w:rPr>
          <w:rFonts w:ascii="Times New Roman" w:hAnsi="Times New Roman"/>
          <w:sz w:val="20"/>
        </w:rPr>
      </w:pPr>
      <w:r>
        <w:rPr>
          <w:rFonts w:ascii="Times New Roman" w:hAnsi="Times New Roman"/>
          <w:sz w:val="20"/>
        </w:rPr>
        <w:t xml:space="preserve">(n) No member of the Company Group will be required to include any material item of income in, or exclude any material item of deduction from, taxable income for any taxable period (or portion thereof) ending on or after the Closing Date as a result of any: (i) change in method of accounting, use of the cash method, or use of an improper method of accounting, with respect to a taxable period (or portion thereof) ending on or prior to the Closing Date, including, without limitation, through the application of Section 481 or Section 263A of the Code (or corresponding provisions of state or non-U.S. income Tax Law) to transactions, events or accounting methods employed prior to the Closing Date, (ii) “closing agreement” as described in Section 7121 of the Code (or any similar agreement under state, local or foreign Law) executed prior to the Closing Date, (iii) intercompany transaction, deferred intercompany gain or loss (as described in Treasury Regulations Section 1.1502-13), excess loss account (as described in Treasury Regulations Section 1.1502-19) or any other item of income, gain, loss, deduction or credit that would be required to be taken into account under the Treasury Regulations under Section 1502 of the Code (or any similar transaction or provision under state, local or foreign Law) entered into or created prior to the Closing Date or recapture under Treasury Regulations Section 1.1503(d)-6 of dual consolidated losses that arose in a taxable period (or portion thereof) ending on or prior to the Closing Date, (iv) installment sale or open transaction disposition made prior to the Closing Date, (v) prepaid amount received or deferred revenue accrued prior to the Closing, (vi) “long-term contracts” that are subject to a method of accounting provided for in Section 460 of the Code entered into by any member of the Company Group on or prior to the Closing, (vii) election under, or application of, IRS Revenue Procedure 2004-34, Sections 451, 455 or 456 of the Code and the Treasury Regulations thereunder (or any corresponding or similar provision of state, local or non-U.S. Law), or any other prepaid amounts or advance payments received or accrued prior to the Closing Date, (viii) election under Section 965(h) of the Code, (ix) “global intangible low-taxed income” within the meaning of Section 951A of the Code attributable to a taxable period (or portion thereof) ending on or prior to the Closing Date or (x) “subpart F income” within the meaning of Section 952 of the Code accruing on or prior to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No member of the Company Group is or will have been a “United States real property holding corporation” within the meaning of Section 897(c)(2) of the Code during the applicable period specified in Section 897(c)(1)(A) of the Code. </w:t>
      </w:r>
    </w:p>
    <w:p>
      <w:pPr>
        <w:pStyle w:val="TextBody"/>
        <w:bidi w:val="0"/>
        <w:spacing w:before="240" w:after="0"/>
        <w:jc w:val="left"/>
        <w:rPr>
          <w:rFonts w:ascii="Times New Roman" w:hAnsi="Times New Roman"/>
          <w:sz w:val="20"/>
        </w:rPr>
      </w:pPr>
      <w:r>
        <w:rPr>
          <w:rFonts w:ascii="Times New Roman" w:hAnsi="Times New Roman"/>
          <w:sz w:val="20"/>
        </w:rPr>
        <w:t xml:space="preserve">(p) Each member of the Company Group has complied in all material respects with applicable escheat, unclaimed property or similar Laws. </w:t>
      </w:r>
    </w:p>
    <w:p>
      <w:pPr>
        <w:pStyle w:val="TextBody"/>
        <w:bidi w:val="0"/>
        <w:spacing w:before="240" w:after="0"/>
        <w:jc w:val="left"/>
        <w:rPr>
          <w:rFonts w:ascii="Times New Roman" w:hAnsi="Times New Roman"/>
          <w:sz w:val="20"/>
        </w:rPr>
      </w:pPr>
      <w:r>
        <w:rPr>
          <w:rFonts w:ascii="Times New Roman" w:hAnsi="Times New Roman"/>
          <w:sz w:val="20"/>
        </w:rPr>
        <w:t xml:space="preserve">(q) The Company is properly classified as a “corporation” for all U.S. federal income tax purposes, and no election has been made (or is pending) to change such status. </w:t>
      </w:r>
    </w:p>
    <w:p>
      <w:pPr>
        <w:pStyle w:val="TextBody"/>
        <w:bidi w:val="0"/>
        <w:spacing w:before="240" w:after="0"/>
        <w:jc w:val="left"/>
        <w:rPr>
          <w:rFonts w:ascii="Times New Roman" w:hAnsi="Times New Roman"/>
          <w:sz w:val="20"/>
        </w:rPr>
      </w:pPr>
      <w:r>
        <w:rPr>
          <w:rFonts w:ascii="Times New Roman" w:hAnsi="Times New Roman"/>
          <w:sz w:val="20"/>
        </w:rPr>
        <w:t xml:space="preserve">(r) Other than the Canadian Subsidiary, no member of the Company Group: (i) is, or has ever been, formed, organized, a resident of or operated in any jurisdiction other than the United States or a State thereof; (ii) has ever held any equity interest in any Person that was formed, organized, a resident of, or operated in a jurisdiction other than the United States or a State thereof; or (iii) owns, or has ever owned, an interest in any controlled foreign corporation (as defined in Section 957 of the Code), passive foreign investment company (as defined in Section 1297 of the Code) or other entity that is or was a resident of or operated in any jurisdiction other than the United States or a State thereof. </w:t>
      </w:r>
    </w:p>
    <w:p>
      <w:pPr>
        <w:pStyle w:val="TextBody"/>
        <w:bidi w:val="0"/>
        <w:spacing w:before="240" w:after="0"/>
        <w:jc w:val="left"/>
        <w:rPr>
          <w:rFonts w:ascii="Times New Roman" w:hAnsi="Times New Roman"/>
          <w:sz w:val="20"/>
        </w:rPr>
      </w:pPr>
      <w:r>
        <w:rPr>
          <w:rFonts w:ascii="Times New Roman" w:hAnsi="Times New Roman"/>
          <w:sz w:val="20"/>
        </w:rPr>
        <w:t xml:space="preserve">(s) No member of the Company Group has (i) claimed or received any credits under Sections 7001 through 7005 of the Families First Coronavirus Response Act or Section 2301 of the CARES Act or other applicable Law, (ii) taken any additional depreciation pursuant to Section 2307 of the CARES Act, or (iii) extended any of the foregoing benefits under the American Rescue Plan Act of 2021 or other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 No member of the Company Group has ever experienced an “ownership change” as defined in Section 382(g) of the Code, and there are currently no limitations on the utilization of net operating losses, capital losses, Tax credits, or similar items of any member of the Company Group under Sections 382, 383 and 384 of the Code. </w:t>
      </w:r>
    </w:p>
    <w:p>
      <w:pPr>
        <w:pStyle w:val="TextBody"/>
        <w:bidi w:val="0"/>
        <w:spacing w:before="240" w:after="0"/>
        <w:jc w:val="left"/>
        <w:rPr>
          <w:rFonts w:ascii="Times New Roman" w:hAnsi="Times New Roman"/>
          <w:sz w:val="20"/>
        </w:rPr>
      </w:pPr>
      <w:r>
        <w:rPr>
          <w:rFonts w:ascii="Times New Roman" w:hAnsi="Times New Roman"/>
          <w:sz w:val="20"/>
        </w:rPr>
        <w:t xml:space="preserve">(u) The Canadian Subsidiary is duly registered for purposes of GST/HST and all other applicable sales tax registrations to the extent legally required under applicable Laws. All input tax credits claimed by the Canadian Subsidiary for the purposes of GST/HST were calculated in accordance with applicable Law and duly documented. The Canadian Subsidiary has complied with all registration, reporting, payment, collection and remittance requirements in respect of GST/HST and any other sales Taxes applicable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(v) The Canadian Subsidiary has maintained and continues to maintain at its place of business in Canada all records and books of account required to be maintained under the ITA, the Excise Tax Act (Canada) and any comparable Law of any province or territory in Canada, including Laws relating to sales and use taxes. </w:t>
      </w:r>
    </w:p>
    <w:p>
      <w:pPr>
        <w:pStyle w:val="TextBody"/>
        <w:bidi w:val="0"/>
        <w:spacing w:before="240" w:after="0"/>
        <w:jc w:val="left"/>
        <w:rPr>
          <w:rFonts w:ascii="Times New Roman" w:hAnsi="Times New Roman"/>
          <w:sz w:val="20"/>
        </w:rPr>
      </w:pPr>
      <w:r>
        <w:rPr>
          <w:rFonts w:ascii="Times New Roman" w:hAnsi="Times New Roman"/>
          <w:sz w:val="20"/>
        </w:rPr>
        <w:t xml:space="preserve">(w) The Canadian Subsidiary has made or obtained records or documents that meet the requirements of paragraphs 247(4)(a) to (c) of the ITA with respect to all material transactions between it and any non-resident of Canada with whom it was not dealing at arm’s length for purposes of the ITA. </w:t>
      </w:r>
    </w:p>
    <w:p>
      <w:pPr>
        <w:pStyle w:val="TextBody"/>
        <w:bidi w:val="0"/>
        <w:spacing w:before="240" w:after="0"/>
        <w:jc w:val="left"/>
        <w:rPr>
          <w:rFonts w:ascii="Times New Roman" w:hAnsi="Times New Roman"/>
          <w:sz w:val="20"/>
        </w:rPr>
      </w:pPr>
      <w:r>
        <w:rPr>
          <w:rFonts w:ascii="Times New Roman" w:hAnsi="Times New Roman"/>
          <w:sz w:val="20"/>
        </w:rPr>
        <w:t xml:space="preserve">(x) There are no transactions or events that have resulted, and no circumstances existing, which could result in the application to the Canadian Subsidiary of sections 80, 80.01, 80.02, 80.03, 80.04 of the ITA or any analogous provision of any comparable Law of any province or territory of Canada.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 The Canadian Subsidiary has not incurred any deductible outlay or expense owing to a Person not dealing at arm’s length (for purposes of the ITA) the amount of which would, in the absence of an agreement filed under paragraph 78(1)(b) of the ITA, be included in the Canadian Subsidiary’s income for Canadian income tax purposes, as the case may be, for any taxation year or fiscal period beginning on or after the Closing Date under paragraph 78(1)(a) of the ITA or any analogous provision of any comparable Law of any province or territory of Canada. </w:t>
      </w:r>
    </w:p>
    <w:p>
      <w:pPr>
        <w:pStyle w:val="TextBody"/>
        <w:bidi w:val="0"/>
        <w:spacing w:before="240" w:after="0"/>
        <w:jc w:val="left"/>
        <w:rPr>
          <w:rFonts w:ascii="Times New Roman" w:hAnsi="Times New Roman"/>
          <w:sz w:val="20"/>
        </w:rPr>
      </w:pPr>
      <w:r>
        <w:rPr>
          <w:rFonts w:ascii="Times New Roman" w:hAnsi="Times New Roman"/>
          <w:sz w:val="20"/>
        </w:rPr>
        <w:t xml:space="preserve">(z) The Canadian Subsidiary has not had an obligation to file information return pursuant to sections 237.3 and 237.4 of the ITA. </w:t>
      </w:r>
    </w:p>
    <w:p>
      <w:pPr>
        <w:pStyle w:val="TextBody"/>
        <w:bidi w:val="0"/>
        <w:spacing w:before="240" w:after="0"/>
        <w:jc w:val="left"/>
        <w:rPr>
          <w:rFonts w:ascii="Times New Roman" w:hAnsi="Times New Roman"/>
          <w:sz w:val="20"/>
        </w:rPr>
      </w:pPr>
      <w:r>
        <w:rPr>
          <w:rFonts w:ascii="Times New Roman" w:hAnsi="Times New Roman"/>
          <w:sz w:val="20"/>
        </w:rPr>
        <w:t xml:space="preserve">(aa) The Canadian Subsidiary is not subject to Tax in any country other than the country in which the Canadian Subsidiary was incorporated or formed by virtue of (A) having a permanent establishment or other place of business in such jurisdiction or (B) having a source of income in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Section 4.09. </w:t>
      </w:r>
      <w:r>
        <w:rPr>
          <w:rFonts w:ascii="Times New Roman" w:hAnsi="Times New Roman"/>
          <w:sz w:val="20"/>
          <w:u w:val="single"/>
        </w:rPr>
        <w:t>Employee Benefits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4.09(a)</w:t>
      </w:r>
      <w:r>
        <w:rPr>
          <w:rFonts w:ascii="Times New Roman" w:hAnsi="Times New Roman"/>
          <w:sz w:val="20"/>
        </w:rPr>
        <w:t xml:space="preserve"> of the Company Disclosure Letter sets forth, as of immediately prior to the Effective Time, a true and complete list of each Company Benefit Plan and material Canada Benefit Plan (other than employment offer letters or individual independent contractor or consultant agreements on substantially the form provided to Parent that do not contain any transaction, retention or similar incentives). With respect to each material Company Benefit Plan, Company has made available to Parent true and complete copies of (i) such Company Benefit Plan (or, in the case of any unwritten Company Benefit Plan, a description thereof) (including any amendments thereto and all related insurance policies), (ii) the three most recent annual reports on Form 5500 filed with respect to each such Company Benefit Plan (and all schedules and attachments thereto, if any such report was required), (iii) the most recent summary plan description for each such Company Benefit Plan for which such summary plan description is required and a summary of material modifications thereto, (iv) the most recent actuarial valuation report, if any, for each such Company Benefit Plan, (v) the most recent determination, advisory or opinion letter received from the IRS for each such Company Benefit Plan (if applicable), (vi) if the Company Benefit Plan is funded through a trust or any third party funding vehicle, a copy of the trust or other funding agreement (including any amendments thereto), (vii) all discrimination tests for each Company Benefit Plan for the three most recent plan years (if any) and (viii) all material correspondence with a Governmental Authority relating to such Company Benefit Plan since the Lookback Date.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Benefit Plans are and have been established, maintained, funded, operated, and administered in all material respects in compliance with their terms and applicable Law. All contributions, reimbursements, distributions, and premium payments with respect to each Company Benefit Plan that are required to be made have been timely made or paid in accordance with the Company Benefit Plan’s terms and in compliance with applicable Laws or have been properly accrued on the Company Group’s audited financial statements. There are no pending or threatened Actions or claims on behalf of or relating to a Company Benefit Plan (other than routine claims for benefits thereunder). No examination, voluntary correction proceeding or audit of any Company Benefit Plan by any Governmental Authority is currently in progress or, to the Knowledge of the Company, threatened. Neither the Company, any Subsidiary of the Company, any ERISA Affiliates nor any other Person has engaged in any transaction with respect to any Company Benefit Plan that would be reasonably likely to subject the Company, any Subsidiary of the Company, or Parent to any Tax or penalty (civil or otherwise) imposed by ERISA, the Code or other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 Company Benefit Plan provides health, life or other welfare benefits after termination of employment, except as required by Section 4980B of the Code and Part 6 of Subtitle B of Title I of ERISA and where the premium cost of coverage thereof is borne entirely by the former employee (or his or her eligible dependents). </w:t>
      </w:r>
    </w:p>
    <w:p>
      <w:pPr>
        <w:pStyle w:val="TextBody"/>
        <w:bidi w:val="0"/>
        <w:spacing w:before="240" w:after="0"/>
        <w:jc w:val="left"/>
        <w:rPr>
          <w:rFonts w:ascii="Times New Roman" w:hAnsi="Times New Roman"/>
          <w:sz w:val="20"/>
        </w:rPr>
      </w:pPr>
      <w:r>
        <w:rPr>
          <w:rFonts w:ascii="Times New Roman" w:hAnsi="Times New Roman"/>
          <w:sz w:val="20"/>
        </w:rPr>
        <w:t>(d) Each Company Benefit Plan that is a “group health plan” (within the meaning of Section 5000(b)(1) of the Code) is in compliance in all material respects with the applicable requirements of the Patient Protection and Affordable Care Act, Pub. L. No. 111-148 (“</w:t>
      </w:r>
      <w:r>
        <w:rPr>
          <w:rFonts w:ascii="Times New Roman" w:hAnsi="Times New Roman"/>
          <w:sz w:val="20"/>
          <w:u w:val="single"/>
        </w:rPr>
        <w:t>ACA</w:t>
      </w:r>
      <w:r>
        <w:rPr>
          <w:rFonts w:ascii="Times New Roman" w:hAnsi="Times New Roman"/>
          <w:sz w:val="20"/>
        </w:rPr>
        <w:t>”), the Health Care and Education Reconciliation Act of 2010, Pub. L. No. 111-152 (“</w:t>
      </w:r>
      <w:r>
        <w:rPr>
          <w:rFonts w:ascii="Times New Roman" w:hAnsi="Times New Roman"/>
          <w:sz w:val="20"/>
          <w:u w:val="single"/>
        </w:rPr>
        <w:t>HCERA</w:t>
      </w:r>
      <w:r>
        <w:rPr>
          <w:rFonts w:ascii="Times New Roman" w:hAnsi="Times New Roman"/>
          <w:sz w:val="20"/>
        </w:rPr>
        <w:t xml:space="preserve">”), and all regulations and guidance issued thereunder. There exists no basis upon which the Company or an ERISA Affiliate of the Company would be expected to be subject to any material penalties or assessable payments under Sections 4980B, 4980D, 4980H, 6055, 6056, 6721 or 6722 of the Code, nor has the Company or any ERISA Affiliate of the Company received any correspondence from the IRS or other agencies indicating that such penalties or assessable payments are or may be due. </w:t>
      </w:r>
    </w:p>
    <w:p>
      <w:pPr>
        <w:pStyle w:val="TextBody"/>
        <w:bidi w:val="0"/>
        <w:spacing w:before="240" w:after="0"/>
        <w:jc w:val="left"/>
        <w:rPr>
          <w:rFonts w:ascii="Times New Roman" w:hAnsi="Times New Roman"/>
          <w:sz w:val="20"/>
        </w:rPr>
      </w:pPr>
      <w:r>
        <w:rPr>
          <w:rFonts w:ascii="Times New Roman" w:hAnsi="Times New Roman"/>
          <w:sz w:val="20"/>
        </w:rPr>
        <w:t xml:space="preserve">(e) No Controlled Group Liability has been incurred by any member of the Company Group in the past six years, nor do any circumstances exist that would result in Controlled Group Liability for any member of the Company Group following the Closing. </w:t>
      </w:r>
    </w:p>
    <w:p>
      <w:pPr>
        <w:pStyle w:val="TextBody"/>
        <w:bidi w:val="0"/>
        <w:spacing w:before="240" w:after="0"/>
        <w:jc w:val="left"/>
        <w:rPr>
          <w:rFonts w:ascii="Times New Roman" w:hAnsi="Times New Roman"/>
          <w:sz w:val="20"/>
        </w:rPr>
      </w:pPr>
      <w:r>
        <w:rPr>
          <w:rFonts w:ascii="Times New Roman" w:hAnsi="Times New Roman"/>
          <w:sz w:val="20"/>
        </w:rPr>
        <w:t xml:space="preserve">(f) No Company Benefit Plan is (i) a “multiemployer plan,” as such term is defined in Section 3(37) of ERISA, (ii) a plan that is subject to Title IV of ERISA, Section 302 of ERISA or Section 412 of the Code, (iii) a multiple employer plan as defined in Section 413(c) of the Code, or (iv) a “multiple employer welfare arrangement” as such term is defined in Section 3(40) of ERISA, and neither the Company, any of its Subsidiaries, nor any ERISA Affiliate of the Company or its Subsidiaries has in the past six years maintained, contributed to, or been required to contribute to any Company Benefit Plan described in clauses (i), (ii), (iii) or (iv). </w:t>
      </w:r>
    </w:p>
    <w:p>
      <w:pPr>
        <w:pStyle w:val="TextBody"/>
        <w:bidi w:val="0"/>
        <w:spacing w:before="240" w:after="0"/>
        <w:jc w:val="left"/>
        <w:rPr>
          <w:rFonts w:ascii="Times New Roman" w:hAnsi="Times New Roman"/>
          <w:sz w:val="20"/>
        </w:rPr>
      </w:pPr>
      <w:r>
        <w:rPr>
          <w:rFonts w:ascii="Times New Roman" w:hAnsi="Times New Roman"/>
          <w:sz w:val="20"/>
        </w:rPr>
        <w:t xml:space="preserve">(g) Each Company Benefit Plan that is intended to be qualified under Section 401(a) of the Code has received a favorable determination letter or, with respect to a prototype, volume submitter or other pre-approved plan, can rely on a favorable opinion or advisory letter from the IRS to the prototype, volume submitter or pre-approved plan sponsor, and there are no facts or circumstances that would be reasonably likely to adversely affect the qualified status of any such Company Benefit Plan. </w:t>
      </w:r>
    </w:p>
    <w:p>
      <w:pPr>
        <w:pStyle w:val="TextBody"/>
        <w:bidi w:val="0"/>
        <w:spacing w:before="240" w:after="0"/>
        <w:jc w:val="left"/>
        <w:rPr>
          <w:rFonts w:ascii="Times New Roman" w:hAnsi="Times New Roman"/>
          <w:sz w:val="20"/>
        </w:rPr>
      </w:pPr>
      <w:r>
        <w:rPr>
          <w:rFonts w:ascii="Times New Roman" w:hAnsi="Times New Roman"/>
          <w:sz w:val="20"/>
        </w:rPr>
        <w:t xml:space="preserve">(h) Except as set forth on </w:t>
      </w:r>
      <w:r>
        <w:rPr>
          <w:rFonts w:ascii="Times New Roman" w:hAnsi="Times New Roman"/>
          <w:sz w:val="20"/>
          <w:u w:val="single"/>
        </w:rPr>
        <w:t>Section 4.09(h)</w:t>
      </w:r>
      <w:r>
        <w:rPr>
          <w:rFonts w:ascii="Times New Roman" w:hAnsi="Times New Roman"/>
          <w:sz w:val="20"/>
        </w:rPr>
        <w:t xml:space="preserve"> of the Company Disclosure Letter, the execution and delivery of each Transaction Document to which Company or any of its Subsidiaries is a party do not, and the consummation of the Transactions and compliance with the terms hereof and thereof will not, either alone or in connection with any other event, directly or indirectly (i) entitle any current or former Company Employee to any bonus, equity or equity-based, non-qualified compensation, severance, termination, retention, transaction, change in control or similar pay or benefits or (ii) accelerate the time of payment, funding or vesting or trigger any payment (whether in cash, property or the vesting of property) or funding (through a grantor trust or otherwise) of compensation or benefits under, increase the amount payable under or trigger any other obligation pursuant to, any Company Benefit Plan, or (iii) result in any payment that could be considered an “excess parachute payment” within the meaning of Section 280G of the Code. No member of the Company Group is a party to or has any obligation under any Company Benefit Plan to gross-up or indemnify any person for excise Taxes payable pursuant to Section 409A or 4999 of the Code. Neither the Company nor any of its Subsidiaries has any binding commitment to (1) create any additional Company Benefit Plan, or (2) amend or modify any existing Company Benefit Plan with any current or former employee, independent contractor or director.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Each Company Benefit Plan that is subject to Section 409A or Section 457A of the Code has been administered in material compliance with its terms and Section 409A or Section 457A of the Code, as applicable (including the operational and documentary requirements thereof) and all applicable regulatory guidance thereunder (including, notices, rulings and proposed and final regulations). No payment to be made under any Company Benefit Plan is subject to additional Taxes under Section 409A(a)(1) or Section 457A(c) of the Code. </w:t>
      </w:r>
    </w:p>
    <w:p>
      <w:pPr>
        <w:pStyle w:val="TextBody"/>
        <w:bidi w:val="0"/>
        <w:spacing w:before="240" w:after="0"/>
        <w:jc w:val="left"/>
        <w:rPr>
          <w:rFonts w:ascii="Times New Roman" w:hAnsi="Times New Roman"/>
          <w:sz w:val="20"/>
        </w:rPr>
      </w:pPr>
      <w:r>
        <w:rPr>
          <w:rFonts w:ascii="Times New Roman" w:hAnsi="Times New Roman"/>
          <w:sz w:val="20"/>
        </w:rPr>
        <w:t xml:space="preserve">(j) There currently is not any Company Benefit Plan that is or has been subject to the Laws of a jurisdiction other than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(k) With respect to each material Canada Benefit Plan, Company has made available to Parent true, complete and up-to-date copies of all material documentation for each Canada Benefit Plan, including, as applicable (i) the documents forming the plan text (or a written description, if unwritten), including all amendments thereto, (ii) funding agreements, including trust agreements and group annuity policies, (iii) investment management agreements and subscription agreements, (iv) annual reports and other statutorily prescribed filings for the past three years, (v) applicable employee manuals, and benefits’ booklets, (vi) agreements with individual service providers, including independent contractors, actuaries, brokers, and investment managers, (vii) financial statements for the past three years, whether or not filed with a Governmental Authority, (viii) the most recently filed actuarial valuations, and (ix) all material non-routine correspondence sent to or received from each Governmental Authority, including correspondence relating to any Actions, and responses thereto. </w:t>
      </w:r>
    </w:p>
    <w:p>
      <w:pPr>
        <w:pStyle w:val="TextBody"/>
        <w:bidi w:val="0"/>
        <w:spacing w:before="240" w:after="0"/>
        <w:jc w:val="left"/>
        <w:rPr>
          <w:rFonts w:ascii="Times New Roman" w:hAnsi="Times New Roman"/>
          <w:sz w:val="20"/>
        </w:rPr>
      </w:pPr>
      <w:r>
        <w:rPr>
          <w:rFonts w:ascii="Times New Roman" w:hAnsi="Times New Roman"/>
          <w:sz w:val="20"/>
        </w:rPr>
        <w:t xml:space="preserve">(l) No Canada Benefit Plan is or is intended to be and the Company Group has not at any time in the past five years maintained, established, sponsored, participated in, contributed to, or been required to contribute to, or has or could otherwise incur any Liabilities with respect to any plan that was or was intended to be (i) a pension plan subject to federal or provincial pension standards legislation, including a “registered pension plan” as such term is defined in subsection 248(1) of the ITA; (ii) a “retirement compensation arrangement” as such term is defined in subsection 248(1) of the ITA; (iii) an “employee life and health trust” as such term is defined in subsection 248(1) of the ITA; or (iv) a “health and welfare trust” within the meaning of the Canada Revenue Agency Income Tax Folio S2-F1-C1. No Canada Benefit Plan has been determined by a Governmental Authority to be a “salary deferral arrangement” as such term is defined in subsection 248(1) of the ITA. </w:t>
      </w:r>
    </w:p>
    <w:p>
      <w:pPr>
        <w:pStyle w:val="TextBody"/>
        <w:bidi w:val="0"/>
        <w:spacing w:before="240" w:after="0"/>
        <w:jc w:val="left"/>
        <w:rPr>
          <w:rFonts w:ascii="Times New Roman" w:hAnsi="Times New Roman"/>
          <w:sz w:val="20"/>
        </w:rPr>
      </w:pPr>
      <w:r>
        <w:rPr>
          <w:rFonts w:ascii="Times New Roman" w:hAnsi="Times New Roman"/>
          <w:sz w:val="20"/>
        </w:rPr>
        <w:t xml:space="preserve">(m) No Canada Benefit Plan covers employees outside Canada. </w:t>
      </w:r>
    </w:p>
    <w:p>
      <w:pPr>
        <w:pStyle w:val="TextBody"/>
        <w:bidi w:val="0"/>
        <w:spacing w:before="240" w:after="0"/>
        <w:jc w:val="left"/>
        <w:rPr>
          <w:rFonts w:ascii="Times New Roman" w:hAnsi="Times New Roman"/>
          <w:sz w:val="20"/>
        </w:rPr>
      </w:pPr>
      <w:r>
        <w:rPr>
          <w:rFonts w:ascii="Times New Roman" w:hAnsi="Times New Roman"/>
          <w:sz w:val="20"/>
        </w:rPr>
        <w:t xml:space="preserve">(n) All of the Canada Benefit Plans have been established, registered (where required), funded, invested and administered in accordance with, in all material respects all applicable Laws and the terms of such Canada Benefit Plans. </w:t>
      </w:r>
    </w:p>
    <w:p>
      <w:pPr>
        <w:pStyle w:val="TextBody"/>
        <w:bidi w:val="0"/>
        <w:spacing w:before="240" w:after="0"/>
        <w:jc w:val="left"/>
        <w:rPr>
          <w:rFonts w:ascii="Times New Roman" w:hAnsi="Times New Roman"/>
          <w:sz w:val="20"/>
        </w:rPr>
      </w:pPr>
      <w:r>
        <w:rPr>
          <w:rFonts w:ascii="Times New Roman" w:hAnsi="Times New Roman"/>
          <w:sz w:val="20"/>
        </w:rPr>
        <w:t xml:space="preserve">(o) Each Canada Benefit Plan that is intended to qualify for tax-preferred or tax-exempt treatment has been duly registered in accordance with applicable Law, and, to the Knowledge of the Company, no event has occurred with respect to any such Canada Benefit Plan that could result in the revocation of the registration of such Canada Benefit Plan or which could otherwise reasonably be expected to adversely affect the tax status of such Canada Benefit Plan. </w:t>
      </w:r>
    </w:p>
    <w:p>
      <w:pPr>
        <w:pStyle w:val="TextBody"/>
        <w:bidi w:val="0"/>
        <w:spacing w:before="240" w:after="0"/>
        <w:jc w:val="left"/>
        <w:rPr>
          <w:rFonts w:ascii="Times New Roman" w:hAnsi="Times New Roman"/>
          <w:sz w:val="20"/>
        </w:rPr>
      </w:pPr>
      <w:r>
        <w:rPr>
          <w:rFonts w:ascii="Times New Roman" w:hAnsi="Times New Roman"/>
          <w:sz w:val="20"/>
        </w:rPr>
        <w:t xml:space="preserve">(p) No promises or commitments, whether written or oral, have been made by the Company Group to amend any Canada Benefit Plan or to establish or adopt any additional employee benefit plan policy, program, practice, agreement, arrangement or undertaking which would be considered to be a Canada Benefit Plan once established or adopted.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 All payments, contributions, or premiums required to be made by the Company Group or the employees under the terms of each Canada Benefit Plan or by applicable Laws have been made in a timely fashion in accordance with applicable Laws and the terms of the Canada Benefit Plans. The Company Group has paid in full all payments, contributions and premiums for the period up to and including the Closing Date or has made full and adequate disclosure of and appropriate accruals for such contributions and premiums. All Liabilities of the Company Group (whether accrued, absolute, contingent or otherwise) related to all Canada Benefit Plans have been fully and accurately disclosed in accordance with GAAP in the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(r) No Canada Benefit Plan, nor any funding medium thereunder, is subject to any Action (other than routine Actions for benefits in the Ordinary Course of Business), and, to the Knowledge of the Company, there exists no state of facts which after notice or lapse of time or both could reasonably be expected to give rise to any such Action. </w:t>
      </w:r>
    </w:p>
    <w:p>
      <w:pPr>
        <w:pStyle w:val="TextBody"/>
        <w:bidi w:val="0"/>
        <w:spacing w:before="240" w:after="0"/>
        <w:jc w:val="left"/>
        <w:rPr>
          <w:rFonts w:ascii="Times New Roman" w:hAnsi="Times New Roman"/>
          <w:sz w:val="20"/>
        </w:rPr>
      </w:pPr>
      <w:r>
        <w:rPr>
          <w:rFonts w:ascii="Times New Roman" w:hAnsi="Times New Roman"/>
          <w:sz w:val="20"/>
        </w:rPr>
        <w:t xml:space="preserve">(s) None of the Canada Benefit Plans provides health and welfare benefits beyond retirement or other termination of service to current or former Company Employee (including any spouse, dependent, beneficiary or survivor of such Person), other than where such coverage: (i) is required under applicable Law, (ii) is provided in respect of claims incurred prior to termination of employment or retirement, or (iii) is provided pursuant to applicable conversion or survivor privileges in accordance with the terms of the insurance policy underlying such Canada Benefit Plan. </w:t>
      </w:r>
    </w:p>
    <w:p>
      <w:pPr>
        <w:pStyle w:val="TextBody"/>
        <w:bidi w:val="0"/>
        <w:spacing w:before="240" w:after="0"/>
        <w:jc w:val="left"/>
        <w:rPr>
          <w:rFonts w:ascii="Times New Roman" w:hAnsi="Times New Roman"/>
          <w:sz w:val="20"/>
        </w:rPr>
      </w:pPr>
      <w:r>
        <w:rPr>
          <w:rFonts w:ascii="Times New Roman" w:hAnsi="Times New Roman"/>
          <w:sz w:val="20"/>
        </w:rPr>
        <w:t xml:space="preserve">(t) The execution of this Agreement and the completion of the transactions contemplated hereby will not (either alone or in conjunction with any additional or subsequent events) constitute an event under any Canada Benefit Plan that will or may result in any bonus, golden parachute, severance, retention, change of control or other payment or obligation to any current Company Employee, former Company Employee, or their beneficiaries (whether or not under any Canada Benefit Plan), increase the benefits payable or provided under any Canada Benefit Plan, result in any acceleration of the time of payment or vesting of any such benefit, or increase or accelerate employer contributions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(u) All data necessary to administer each Canada Benefit Plan is in the possession of the Company Group or an agent and is in a form which is sufficient for the proper administration of the Canada Benefit Plan in accordance with its terms and all applicable Laws and such data is complete and correct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(v) Each individual who is classified by the Company Group as an individual independent contractor has been properly classified for purposes of participation and benefit accrual under each Canada Benefit Plan. </w:t>
      </w:r>
    </w:p>
    <w:p>
      <w:pPr>
        <w:pStyle w:val="TextBody"/>
        <w:bidi w:val="0"/>
        <w:spacing w:before="240" w:after="0"/>
        <w:jc w:val="left"/>
        <w:rPr>
          <w:rFonts w:ascii="Times New Roman" w:hAnsi="Times New Roman"/>
          <w:sz w:val="20"/>
        </w:rPr>
      </w:pPr>
      <w:r>
        <w:rPr>
          <w:rFonts w:ascii="Times New Roman" w:hAnsi="Times New Roman"/>
          <w:sz w:val="20"/>
        </w:rPr>
        <w:t xml:space="preserve">Section 4.10. </w:t>
      </w:r>
      <w:r>
        <w:rPr>
          <w:rFonts w:ascii="Times New Roman" w:hAnsi="Times New Roman"/>
          <w:sz w:val="20"/>
          <w:u w:val="single"/>
        </w:rPr>
        <w:t>Labor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Section 4.10(a) of the Company Disclosure Letter sets forth a complete and accurate list of all employees in Canada, together with, as permitted by applicable Law, their titles, hire date, current base salary, vacation entitlement, bonus or other material compensation paid since the beginning of 2026, and, if on inactive status, the date inactive status started, the expected date of return to active status, and the reason for leave, in each case, if known. </w:t>
      </w:r>
    </w:p>
    <w:p>
      <w:pPr>
        <w:pStyle w:val="TextBody"/>
        <w:bidi w:val="0"/>
        <w:spacing w:before="240" w:after="0"/>
        <w:jc w:val="left"/>
        <w:rPr>
          <w:rFonts w:ascii="Times New Roman" w:hAnsi="Times New Roman"/>
          <w:sz w:val="20"/>
        </w:rPr>
      </w:pPr>
      <w:r>
        <w:rPr>
          <w:rFonts w:ascii="Times New Roman" w:hAnsi="Times New Roman"/>
          <w:sz w:val="20"/>
        </w:rPr>
        <w:t xml:space="preserve">(b) Except for those employment agreements listed in Section 4.10(b) of the Company Disclosure Letter, there are no employment agreements which are not terminable on the giving of notice in accordance with applicable Law, nor are there any employment agreements providing for cash, other compensation, benefits or contingent rights solely as a result of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4.10(c)</w:t>
      </w:r>
      <w:r>
        <w:rPr>
          <w:rFonts w:ascii="Times New Roman" w:hAnsi="Times New Roman"/>
          <w:sz w:val="20"/>
        </w:rPr>
        <w:t xml:space="preserve"> of the Company Disclosure Letter lists each collective bargaining agreement and any other Contract with any labor union or other labor organization or employee representative body, in each case, with respect to any Company Employee (each, a “</w:t>
      </w:r>
      <w:r>
        <w:rPr>
          <w:rFonts w:ascii="Times New Roman" w:hAnsi="Times New Roman"/>
          <w:sz w:val="20"/>
          <w:u w:val="single"/>
        </w:rPr>
        <w:t>Labor Agreement</w:t>
      </w:r>
      <w:r>
        <w:rPr>
          <w:rFonts w:ascii="Times New Roman" w:hAnsi="Times New Roman"/>
          <w:sz w:val="20"/>
        </w:rPr>
        <w:t xml:space="preserve">”) to which any member of the Company Group is a party. Except as set forth on </w:t>
      </w:r>
      <w:r>
        <w:rPr>
          <w:rFonts w:ascii="Times New Roman" w:hAnsi="Times New Roman"/>
          <w:sz w:val="20"/>
          <w:u w:val="single"/>
        </w:rPr>
        <w:t>Section 4.10(c)</w:t>
      </w:r>
      <w:r>
        <w:rPr>
          <w:rFonts w:ascii="Times New Roman" w:hAnsi="Times New Roman"/>
          <w:sz w:val="20"/>
        </w:rPr>
        <w:t xml:space="preserve"> of the Company Disclosure Letter, no Company Employees are represented by any labor union or other labor organization or employee representative body with respect to their employment with the Company Group. The Company Group is not currently negotiating a Labor Agreement and has no legal obligation to currently negotiate a Labor Agreement. No notice, consent or consultation obligations with respect to any Company Employees or any labor union will be a condition precedent to, or triggered by, the execution of this Agreement or the consummation of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(d) (i) Since the Lookback Date, (A) except as set forth on </w:t>
      </w:r>
      <w:r>
        <w:rPr>
          <w:rFonts w:ascii="Times New Roman" w:hAnsi="Times New Roman"/>
          <w:sz w:val="20"/>
          <w:u w:val="single"/>
        </w:rPr>
        <w:t xml:space="preserve">Section 4.10(d) </w:t>
      </w:r>
      <w:r>
        <w:rPr>
          <w:rFonts w:ascii="Times New Roman" w:hAnsi="Times New Roman"/>
          <w:sz w:val="20"/>
        </w:rPr>
        <w:t xml:space="preserve">of the Company Disclosure Letter, there have been no labor unions or works councils purporting to represent any current Company Employees, nor to the Knowledge of the Company is there any pending or threatened application for certification of a collective bargaining agent seeking to represent any employees of the Company Group or any pending union or works council representation election and (B) there has not been nor is there threatened in writing or, to the Knowledge of the Company, orally threatened, any labor strike, labor organization efforts, work stoppage, walkout, organized slowdown, labor grievance, picketing or concerted refusal to work overtime by, or lockout of, any employees of the Company Group, or with respect to the Company Business, and (ii) since the Lookback Date, (A) no member of the Company Group has received written notice or threat (or, to the Knowledge of the Company, oral notice or threat) of any pending unfair labor practice charges against any member of the Company Group before the National Labor Relations Board or any similar Governmental Authority, (B) no member of the Company Group has received written notice or threat (or, to the Knowledge of the Company, oral notice or threat) of any pending Actions against any member of the Company Group or otherwise in connection with the Company Business, alleging violation of any Laws pertaining to labor relations or employment matters, including any charge or complaint filed by an employee before the Equal Employment Opportunity Commission or any similar Governmental Authority responsible for the prevention of unlawful employment practices, or any Action alleging violation of applicable federal, state or local labor or employment Laws (including human rights Laws), and (C) no member of the Company Group has committed any material unfair labor practice under the National Labor Relations Act or any other similar applicable Canadian labor relations legislation. </w:t>
      </w:r>
    </w:p>
    <w:p>
      <w:pPr>
        <w:pStyle w:val="TextBody"/>
        <w:bidi w:val="0"/>
        <w:spacing w:before="240" w:after="0"/>
        <w:jc w:val="left"/>
        <w:rPr>
          <w:rFonts w:ascii="Times New Roman" w:hAnsi="Times New Roman"/>
          <w:sz w:val="20"/>
        </w:rPr>
      </w:pPr>
      <w:r>
        <w:rPr>
          <w:rFonts w:ascii="Times New Roman" w:hAnsi="Times New Roman"/>
          <w:sz w:val="20"/>
        </w:rPr>
        <w:t>(e) (i) Each member of the Company Group is and has been in material compliance with all applicable Laws relating to labor, employment, and employment practices, including all Laws respecting workers’ compensation, terms and conditions of employment, applicant and employee background checking, health and welfare, retirement or other savings or insurance contributions, plant closings and mass layoffs (including the Worker Adjustment and Retraining Notification Act of 1988, as amended (the “</w:t>
      </w:r>
      <w:r>
        <w:rPr>
          <w:rFonts w:ascii="Times New Roman" w:hAnsi="Times New Roman"/>
          <w:sz w:val="20"/>
          <w:u w:val="single"/>
        </w:rPr>
        <w:t>WARN Act</w:t>
      </w:r>
      <w:r>
        <w:rPr>
          <w:rFonts w:ascii="Times New Roman" w:hAnsi="Times New Roman"/>
          <w:sz w:val="20"/>
        </w:rPr>
        <w:t xml:space="preserve">” or any other similar applicable minimum employment standards legislation)), worker classification (including the classification or characterization of exempt and non-exempt employees and of independent contractors), affirmative action, equal pay, pay equity, vacation pay, vacation time, overtime pay, worker safety, wages and hours, civil rights, equal employment opportunities, leaves of absence, disability rights or benefits, notice of termination, discrimination, retaliation, immigration (including Form I-9 requirements and any applicable mandatory E-Verify obligations), restrictive covenants, pay transparency, withholding of Taxes, collective bargaining and any other statutory or other obligations owed to employees under applicable Law and (ii) no member of the Company Group has any material Liability, including under or on account of a Company Benefit Plan or a Canada Benefit Plan, arising out of the hiring of Persons to provide services to the Company Group and treating such Persons as consultants or individual independent contractors and not as employees of the Company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Since the Lookback Date, no member of the Company Group has taken any action that would constitute a “mass layoff” or “plant closing” within the meaning of the WARN Act or any other similar applicable minimum employment standards legislation, and no such action with respect to any Company Employees has been planned or announced. Since the Lookback Date, no member of the Company Group has incurred any Liability under the WARN Act that remains unsatisfied. </w:t>
      </w:r>
    </w:p>
    <w:p>
      <w:pPr>
        <w:pStyle w:val="TextBody"/>
        <w:bidi w:val="0"/>
        <w:spacing w:before="240" w:after="0"/>
        <w:jc w:val="left"/>
        <w:rPr>
          <w:rFonts w:ascii="Times New Roman" w:hAnsi="Times New Roman"/>
          <w:sz w:val="20"/>
        </w:rPr>
      </w:pPr>
      <w:r>
        <w:rPr>
          <w:rFonts w:ascii="Times New Roman" w:hAnsi="Times New Roman"/>
          <w:sz w:val="20"/>
        </w:rPr>
        <w:t xml:space="preserve">(g) The Company Group reasonably investigated all sexual harassment, discrimination and retaliation claims or other similar material allegations of which they have been made aware since the Lookback Date, against any current or former Company Employee concerning their employment with the Company Group. No member of the Company Group has, since the Lookback Date, entered into any settlement agreement with any current or former director, officer, or employee of the Company Group related to allegations of sexual harassment, sexual misconduct or employment discrimination. To the Knowledge of the Company, no member of the Company Group has any material Liability (accrued, contingent or otherwise) with respect to any current or former Company Employee relating to acts of sexual harassment, sexual misconduct or unlawful employment discrimination. </w:t>
      </w:r>
    </w:p>
    <w:p>
      <w:pPr>
        <w:pStyle w:val="TextBody"/>
        <w:bidi w:val="0"/>
        <w:spacing w:before="240" w:after="0"/>
        <w:jc w:val="left"/>
        <w:rPr>
          <w:rFonts w:ascii="Times New Roman" w:hAnsi="Times New Roman"/>
          <w:sz w:val="20"/>
        </w:rPr>
      </w:pPr>
      <w:r>
        <w:rPr>
          <w:rFonts w:ascii="Times New Roman" w:hAnsi="Times New Roman"/>
          <w:sz w:val="20"/>
        </w:rPr>
        <w:t xml:space="preserve">(h) No current Company Employee at the level of vice president and above has provided written notice to terminate his or her employment or relationship with the Company Group. To the Knowledge of the Company, no Company Employee at the level of vice president and above is bound by any non-compete, non-solicit, or non-disclosure of confidential information covenants which restricts such Company Employee from being employed by or providing services for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(i) All current assessments under workers’ compensation legislation in relation to the Company Business and as applied to all of the Company Group’s contractors and subcontractors have been paid or accrued by the Company Group. To the Knowledge of the Company, there are no pending assessments, experience rating charges or claims which reasonably would be expected to adversely affect the Company Group’s premium payments or accident cost experience or result in any additional material payments in connection with the Company Business. </w:t>
      </w:r>
    </w:p>
    <w:p>
      <w:pPr>
        <w:pStyle w:val="TextBody"/>
        <w:bidi w:val="0"/>
        <w:spacing w:before="240" w:after="0"/>
        <w:jc w:val="left"/>
        <w:rPr>
          <w:rFonts w:ascii="Times New Roman" w:hAnsi="Times New Roman"/>
          <w:sz w:val="20"/>
        </w:rPr>
      </w:pPr>
      <w:r>
        <w:rPr>
          <w:rFonts w:ascii="Times New Roman" w:hAnsi="Times New Roman"/>
          <w:sz w:val="20"/>
        </w:rPr>
        <w:t xml:space="preserve">(j) The Company Group has complied in all respects with each Governmental Order issued to the Company Group under any occupational health and safety legislation and no such Governmental Order is currently in the appeals process. </w:t>
      </w:r>
    </w:p>
    <w:p>
      <w:pPr>
        <w:pStyle w:val="TextBody"/>
        <w:bidi w:val="0"/>
        <w:spacing w:before="240" w:after="0"/>
        <w:jc w:val="left"/>
        <w:rPr>
          <w:rFonts w:ascii="Times New Roman" w:hAnsi="Times New Roman"/>
          <w:sz w:val="20"/>
        </w:rPr>
      </w:pPr>
      <w:r>
        <w:rPr>
          <w:rFonts w:ascii="Times New Roman" w:hAnsi="Times New Roman"/>
          <w:sz w:val="20"/>
        </w:rPr>
        <w:t xml:space="preserve">Section 4.11. </w:t>
      </w:r>
      <w:r>
        <w:rPr>
          <w:rFonts w:ascii="Times New Roman" w:hAnsi="Times New Roman"/>
          <w:sz w:val="20"/>
          <w:u w:val="single"/>
        </w:rPr>
        <w:t>Litigation</w:t>
      </w:r>
      <w:r>
        <w:rPr>
          <w:rFonts w:ascii="Times New Roman" w:hAnsi="Times New Roman"/>
          <w:sz w:val="20"/>
        </w:rPr>
        <w:t xml:space="preserve">. Except as set forth on </w:t>
      </w:r>
      <w:r>
        <w:rPr>
          <w:rFonts w:ascii="Times New Roman" w:hAnsi="Times New Roman"/>
          <w:sz w:val="20"/>
          <w:u w:val="single"/>
        </w:rPr>
        <w:t>Section 4.11</w:t>
      </w:r>
      <w:r>
        <w:rPr>
          <w:rFonts w:ascii="Times New Roman" w:hAnsi="Times New Roman"/>
          <w:sz w:val="20"/>
        </w:rPr>
        <w:t xml:space="preserve"> of the Company Disclosure Letter, there is no, and since the Lookback Date there has been no, (i) material Action to which any member of the Company Group is a party (either as plaintiff or defendant) or relating to the Company Business that is pending or, to the Knowledge of the Company, threatened against any member of the Company Group, or (ii) material Governmental Orders that specifically name any member of the Company Group, or to which any member of the Company Group or their respective properties or assets is subject. There is no material Action that any member of the Company Group intends to initiate. </w:t>
      </w:r>
    </w:p>
    <w:p>
      <w:pPr>
        <w:pStyle w:val="TextBody"/>
        <w:bidi w:val="0"/>
        <w:spacing w:before="240" w:after="0"/>
        <w:jc w:val="left"/>
        <w:rPr>
          <w:rFonts w:ascii="Times New Roman" w:hAnsi="Times New Roman"/>
          <w:sz w:val="20"/>
        </w:rPr>
      </w:pPr>
      <w:r>
        <w:rPr>
          <w:rFonts w:ascii="Times New Roman" w:hAnsi="Times New Roman"/>
          <w:sz w:val="20"/>
        </w:rPr>
        <w:t xml:space="preserve">Section 4.12. </w:t>
      </w:r>
      <w:r>
        <w:rPr>
          <w:rFonts w:ascii="Times New Roman" w:hAnsi="Times New Roman"/>
          <w:sz w:val="20"/>
          <w:u w:val="single"/>
        </w:rPr>
        <w:t>Compliance with Applicable Laws; Permits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set forth on </w:t>
      </w:r>
      <w:r>
        <w:rPr>
          <w:rFonts w:ascii="Times New Roman" w:hAnsi="Times New Roman"/>
          <w:sz w:val="20"/>
          <w:u w:val="single"/>
        </w:rPr>
        <w:t>Section 4.12(a)</w:t>
      </w:r>
      <w:r>
        <w:rPr>
          <w:rFonts w:ascii="Times New Roman" w:hAnsi="Times New Roman"/>
          <w:sz w:val="20"/>
        </w:rPr>
        <w:t xml:space="preserve"> of the Company Disclosure Letter or as would not, individually or in the aggregate, reasonably be expected to be material to the Company or any Company Subsidiary taken as a whole, since the Lookback Date: (i) each member of the Company Group is, and has been, in compliance with all applicable Laws; and (ii) no member of the Company Group has received any written or, to the Knowledge of the Company, oral, notice from a Governmental Authority alleging any failure to comply with any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member of the Company Group has been duly granted and holds, and since the Lookback Date has been duly granted and held, all material Permits under all applicable Laws required or necessary to own, lease or operate their respective properties and assets and to conduct the Company Business as currently conducted. Each such Permit is valid and in full force and effect, and the Company has made all required filings for the renewal of such material Permits, as applicable, and no member of the Company Group is in, and since the Lookback Date has been in, material breach or material violation of, or material default under, any such Permit. There are no, and since the Lookback Date have not been any, pending or threatened suspension, revocation or modification of any material Permit or allegations of any material failure to comply with terms and conditions of any material Permit. Since the Lookback Date, no member of the Company Group has received any notice from any Governmental Authority that any material Permit will not be renewed. </w:t>
      </w:r>
    </w:p>
    <w:p>
      <w:pPr>
        <w:pStyle w:val="TextBody"/>
        <w:bidi w:val="0"/>
        <w:spacing w:before="240" w:after="0"/>
        <w:jc w:val="left"/>
        <w:rPr>
          <w:rFonts w:ascii="Times New Roman" w:hAnsi="Times New Roman"/>
          <w:sz w:val="20"/>
        </w:rPr>
      </w:pPr>
      <w:r>
        <w:rPr>
          <w:rFonts w:ascii="Times New Roman" w:hAnsi="Times New Roman"/>
          <w:sz w:val="20"/>
        </w:rPr>
        <w:t xml:space="preserve">(c) (i) The Company Group and its principals, as defined by FAR 52.209-5 or other applicable agency regulations or Laws, have not been debarred or suspended or, to the Knowledge of the Company, proposed for debarment from participating in Government Contracts or Government Bids and (ii) no circumstances exist that would warrant the institution of any such debarment or suspension proceedings. </w:t>
      </w:r>
    </w:p>
    <w:p>
      <w:pPr>
        <w:pStyle w:val="TextBody"/>
        <w:bidi w:val="0"/>
        <w:spacing w:before="240" w:after="0"/>
        <w:jc w:val="left"/>
        <w:rPr>
          <w:rFonts w:ascii="Times New Roman" w:hAnsi="Times New Roman"/>
          <w:sz w:val="20"/>
        </w:rPr>
      </w:pPr>
      <w:r>
        <w:rPr>
          <w:rFonts w:ascii="Times New Roman" w:hAnsi="Times New Roman"/>
          <w:sz w:val="20"/>
        </w:rPr>
        <w:t xml:space="preserve">(d) Since the Lookback Date, no member of the Company Group nor any of their respective directors, officers, or employees, nor to the Knowledge of the Company, any of their respective agents, in each case, acting on behalf of any member of the Company Group, has, directly or indirectly, in respect of the Company Group or the Company Business: (i) used any funds for unlawful contributions, unlawful gifts, unlawful entertainment or other unlawful expenses relating to political activity; (ii) made, offered, promised, or authorized any payment or gift of money or anything of value to or for the benefit of any official, officer, employee, or representative of, or any Person acting in an official capacity for or on behalf of, any Governmental Authority (including any official or employee of any government-owned or government-controlled entity, and any officer or employee of a public international organization, as well as any Person acting in an official capacity for or on behalf of any such government or department, agency, or instrumentality, or for or on behalf of any such public international organization) or any other Person, in each case, for the purpose of securing any improper advantage or action to assist any member of the Company Group in obtaining or retaining business for or with, or directing business to, any Person; or (iii) otherwise violated any applicable Anti-Corruption Laws. The Company Group has established and continues to maintain policies and procedures reasonably designed to ensure compliance with applicable Anti-Corruption Laws. No member of the Company Group (nor any of their respective directors, officers, representatives, agents or employees) is or has been the subject of any enforcement actions, reviews, audits, notices, inquiries, or investigations by or disclosures to any Governmental Authority related to any actual or suspected violation by any member of the Company Group of applicable Anti-Corruption Laws. No member of the Company Group has received any communication, report, or other notice from any Person, nor initiated any investigation or other review, regarding actual or alleged violations of applicable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(e) Since the Lookback Date, no member of the Company Group nor any of their respective directors, officers, or employees, nor, to the Knowledge of the Company, any agents, in each case, acting on behalf of the Company Group, has, directly or indirectly, in respect of the Company Group or the Company Business, committed any violation of any applicable Global Trade Laws. No member of the Company Group nor any of their respective directors, officers, or employees, nor, to the Knowledge of the Company, any agent, in each case, authorized to act on behalf of the Company Group, is or has during the past five (5) years been: (i) a Sanctioned Person, or owned or controlled by or under the effective control of a Sanctioned Person, (ii) engaged in any business or dealings, directly or indirectly, with or for the benefit of, a Sanctioned Person or in or for the benefit of a Sanctioned Country in violation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Sanctions, (iii) engaged in any export, reexport, transfer or provision of any goods, software, technology, data or any other items or service without, or exceeding the scope of, any required or applicable licenses or authorizations under all applicable Global Trade Laws or (iv) otherwise in violation of applicable Global Trade Laws, including all applicable tariff, trade-remedy, and special duty Laws, including antidumping duty, countervailing duty, safeguard, Section 201, Section 232, and Section 301 requirements. No member of the Company Group nor any of their respective directors, officers, or employees, nor, to the Knowledge of the Company, any agents, in each case, acting on behalf of the Company Group, is or has during the past five (5) years been the subject of any enforcement actions, reviews, audits, notices, inquiries, or investigations by or disclosures to any Governmental Authority related to a suspected violation of Global Trade Laws by any member of the Company Group, and no member of the Company Group has received any communication, report, or other notice from any Person, nor initiated any investigation or other review, regarding actual or alleged violations of applicable Global Trade Laws. The Company Group has established and continues to maintain policies and procedures reasonably designed to ensure compliance with Global Trade Laws. For purposes of this Section 4.12(e), no dealing by the Canadian Subsidiary shall constitute a violation of Sanctions or any other Global Trade Laws to the extent the </w:t>
      </w:r>
      <w:r>
        <w:rPr>
          <w:rFonts w:ascii="Times New Roman" w:hAnsi="Times New Roman"/>
          <w:i/>
          <w:sz w:val="20"/>
        </w:rPr>
        <w:t xml:space="preserve">Foreign Extraterritorial Measures Act </w:t>
      </w:r>
      <w:r>
        <w:rPr>
          <w:rFonts w:ascii="Times New Roman" w:hAnsi="Times New Roman"/>
          <w:sz w:val="20"/>
        </w:rPr>
        <w:t xml:space="preserve">(Canada) or an order under it prohibits the Canadian Subsidiary from complying with them. </w:t>
      </w:r>
    </w:p>
    <w:p>
      <w:pPr>
        <w:pStyle w:val="TextBody"/>
        <w:bidi w:val="0"/>
        <w:spacing w:before="240" w:after="0"/>
        <w:jc w:val="left"/>
        <w:rPr>
          <w:rFonts w:ascii="Times New Roman" w:hAnsi="Times New Roman"/>
          <w:sz w:val="20"/>
        </w:rPr>
      </w:pPr>
      <w:r>
        <w:rPr>
          <w:rFonts w:ascii="Times New Roman" w:hAnsi="Times New Roman"/>
          <w:sz w:val="20"/>
        </w:rPr>
        <w:t xml:space="preserve">(f) No member of the Company Group, nor any of their respective directors or officers, nor, to the Knowledge of the Company, any employees or agents, in each case, authorized to act on behalf of the Company, has, since the Lookback Date, in respect of the Company Group or the Company Business, violated in any material respect any applicable federal, provincial, state and local laws governing or otherwise regulating the manufacture, marketing, distribution, registration, use, importation, transportation, purchase or other acquisition, possession or sale or other transfer of firearms, ammunition or explosives, including the Gun Control Act of 1968, (Chapter 44 of Title 18, United States Code), the National Firearms Act of 1934, (Chapter 53 of Title 26, United States Code), the Arms Export Control Act (22 U.S.C. § 2778), the ITAR, the Canadian Firearms Laws, the Canadian Controlled Goods Laws and other Laws (including public nuisance or similar Laws) relating to firearms, ammunition and explosives. </w:t>
      </w:r>
    </w:p>
    <w:p>
      <w:pPr>
        <w:pStyle w:val="TextBody"/>
        <w:bidi w:val="0"/>
        <w:spacing w:before="240" w:after="0"/>
        <w:jc w:val="left"/>
        <w:rPr>
          <w:rFonts w:ascii="Times New Roman" w:hAnsi="Times New Roman"/>
          <w:sz w:val="20"/>
        </w:rPr>
      </w:pPr>
      <w:r>
        <w:rPr>
          <w:rFonts w:ascii="Times New Roman" w:hAnsi="Times New Roman"/>
          <w:sz w:val="20"/>
        </w:rPr>
        <w:t xml:space="preserve">Section 4.13. </w:t>
      </w:r>
      <w:r>
        <w:rPr>
          <w:rFonts w:ascii="Times New Roman" w:hAnsi="Times New Roman"/>
          <w:sz w:val="20"/>
          <w:u w:val="single"/>
        </w:rPr>
        <w:t>Environmental Matters</w:t>
      </w:r>
      <w:r>
        <w:rPr>
          <w:rFonts w:ascii="Times New Roman" w:hAnsi="Times New Roman"/>
          <w:sz w:val="20"/>
        </w:rPr>
        <w:t xml:space="preserve">. Except as set forth on </w:t>
      </w:r>
      <w:r>
        <w:rPr>
          <w:rFonts w:ascii="Times New Roman" w:hAnsi="Times New Roman"/>
          <w:sz w:val="20"/>
          <w:u w:val="single"/>
        </w:rPr>
        <w:t>Section 4.13</w:t>
      </w:r>
      <w:r>
        <w:rPr>
          <w:rFonts w:ascii="Times New Roman" w:hAnsi="Times New Roman"/>
          <w:sz w:val="20"/>
        </w:rPr>
        <w:t xml:space="preserve"> of the Company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(a) Each member of the Company Group is, and since the Lookback Date has been, in compliance in all material respects with all Environmental Laws and all material Environmental Permits. </w:t>
      </w:r>
    </w:p>
    <w:p>
      <w:pPr>
        <w:pStyle w:val="TextBody"/>
        <w:bidi w:val="0"/>
        <w:spacing w:before="240" w:after="0"/>
        <w:jc w:val="left"/>
        <w:rPr>
          <w:rFonts w:ascii="Times New Roman" w:hAnsi="Times New Roman"/>
          <w:sz w:val="20"/>
        </w:rPr>
      </w:pPr>
      <w:r>
        <w:rPr>
          <w:rFonts w:ascii="Times New Roman" w:hAnsi="Times New Roman"/>
          <w:sz w:val="20"/>
        </w:rPr>
        <w:t xml:space="preserve">(b) No written notice, notification, demand, request for information, citation, summons or order has been received, no complaint has been filed, no penalty has been assessed and no Action is pending or, to the Knowledge of the Company, is threatened by any Governmental Authority or other Person relating to the Company Group and relating to or arising under any Environmental Laws or Environmental Permit, in each case that would reasonably be expected to be material to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(c) The Company Group has obtained and since the Lookback Date has been in compliance in all material respects with all material Environmental Permits required under any Environmental Law for the ownership, use and operation of the Company Business as currently conducted, and all such Environmental Permits are valid and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(d) With respect to the Company Business, no member of the Company Group is subject to any Governmental Order pursuant to Environmental Law that would reasonably be expected to be material to the Company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There has been no Release or threat of Release of any Hazardous Materials at, on or from the Company Owned Real Property or the Company Leased Real Property, and there are no Hazardous Materials present in the environment at the Company Owned Real Property or the Company Leased Real Property or, to the Knowledge of the Company, at any adjoining property, in each case that would reasonably be expected to be material to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(f) No aboveground or, to the Knowledge of the Company, underground storage tanks are present on any portion of the Company Owned Real Property or the Company Leased Real Property. </w:t>
      </w:r>
    </w:p>
    <w:p>
      <w:pPr>
        <w:pStyle w:val="TextBody"/>
        <w:bidi w:val="0"/>
        <w:spacing w:before="240" w:after="0"/>
        <w:jc w:val="left"/>
        <w:rPr>
          <w:rFonts w:ascii="Times New Roman" w:hAnsi="Times New Roman"/>
          <w:sz w:val="20"/>
        </w:rPr>
      </w:pPr>
      <w:r>
        <w:rPr>
          <w:rFonts w:ascii="Times New Roman" w:hAnsi="Times New Roman"/>
          <w:sz w:val="20"/>
        </w:rPr>
        <w:t xml:space="preserve">(g) There has been no Release or threat of Release of any Hazardous Materials at any location by any member of the Company Group or, to the Knowledge of the Company, by any other Person for whose conduct any member of the Company Group is or may be held responsible, in each case in a manner or concentration that has resulted or could result in any material Liability under Environmental Law. </w:t>
      </w:r>
    </w:p>
    <w:p>
      <w:pPr>
        <w:pStyle w:val="TextBody"/>
        <w:bidi w:val="0"/>
        <w:spacing w:before="240" w:after="0"/>
        <w:jc w:val="left"/>
        <w:rPr>
          <w:rFonts w:ascii="Times New Roman" w:hAnsi="Times New Roman"/>
          <w:sz w:val="20"/>
        </w:rPr>
      </w:pPr>
      <w:r>
        <w:rPr>
          <w:rFonts w:ascii="Times New Roman" w:hAnsi="Times New Roman"/>
          <w:sz w:val="20"/>
        </w:rPr>
        <w:t xml:space="preserve">(h) No member of the Company Group has (i) stored, treated, handled or processed any Hazardous Materials at any Company Owned Real Property or Company Leased Real Property or (ii) with respect to the Company Business, disposed of, arranged for the disposal of, Released or exposed any Person to any Hazardous Materials, in each case in material violation of Environmental Law or in a manner or concentration that has resulted or could result in any material Liability under Environmental Law. </w:t>
      </w:r>
    </w:p>
    <w:p>
      <w:pPr>
        <w:pStyle w:val="TextBody"/>
        <w:bidi w:val="0"/>
        <w:spacing w:before="240" w:after="0"/>
        <w:jc w:val="left"/>
        <w:rPr>
          <w:rFonts w:ascii="Times New Roman" w:hAnsi="Times New Roman"/>
          <w:sz w:val="20"/>
        </w:rPr>
      </w:pPr>
      <w:r>
        <w:rPr>
          <w:rFonts w:ascii="Times New Roman" w:hAnsi="Times New Roman"/>
          <w:sz w:val="20"/>
        </w:rPr>
        <w:t xml:space="preserve">(i) With respect to the Company Business, the Company Owned Real Property or the Company Leased Real Property, no member of the Company Group has assumed, undertaken, or provided indemnification for any material Liabilities of any other Person under Environmental Laws or relating to Hazardous Materials. </w:t>
      </w:r>
    </w:p>
    <w:p>
      <w:pPr>
        <w:pStyle w:val="TextBody"/>
        <w:bidi w:val="0"/>
        <w:spacing w:before="240" w:after="0"/>
        <w:jc w:val="left"/>
        <w:rPr>
          <w:rFonts w:ascii="Times New Roman" w:hAnsi="Times New Roman"/>
          <w:sz w:val="20"/>
        </w:rPr>
      </w:pPr>
      <w:r>
        <w:rPr>
          <w:rFonts w:ascii="Times New Roman" w:hAnsi="Times New Roman"/>
          <w:sz w:val="20"/>
        </w:rPr>
        <w:t xml:space="preserve">Section 4.14. </w:t>
      </w:r>
      <w:r>
        <w:rPr>
          <w:rFonts w:ascii="Times New Roman" w:hAnsi="Times New Roman"/>
          <w:sz w:val="20"/>
          <w:u w:val="single"/>
        </w:rPr>
        <w:t>Real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4.14(a)</w:t>
      </w:r>
      <w:r>
        <w:rPr>
          <w:rFonts w:ascii="Times New Roman" w:hAnsi="Times New Roman"/>
          <w:sz w:val="20"/>
        </w:rPr>
        <w:t xml:space="preserve"> of the Company Disclosure Letter sets forth a true and complete list, including addresses and the fee simple owner thereof, as of immediately prior to the Effective Time, of all real property owned in fee simple by any member of the Company Group, or any right or option to purchase or acquire the same (collectively, in each case together with all Facilities thereon and all easements and rights of way pertaining thereto or accruing to the benefit thereof and all other appurtenances and real property rights pertaining thereto, if any, the “</w:t>
      </w:r>
      <w:r>
        <w:rPr>
          <w:rFonts w:ascii="Times New Roman" w:hAnsi="Times New Roman"/>
          <w:sz w:val="20"/>
          <w:u w:val="single"/>
        </w:rPr>
        <w:t>Company Owned Real Property</w:t>
      </w:r>
      <w:r>
        <w:rPr>
          <w:rFonts w:ascii="Times New Roman" w:hAnsi="Times New Roman"/>
          <w:sz w:val="20"/>
        </w:rPr>
        <w:t xml:space="preserve">”). (i) Such member of the Company Group has good, valid and marketable fee simple title to all respective Company Owned Real Property, in each case free and clear of all Liens other than Company Permitted Liens, (ii) there are no reversion rights, outstanding options or rights of first refusal or first offer or other preemptive rights in favor of any other Person to purchase, acquire, lease, occupy or otherwise utilize the Company Owned Real Property or any portion thereof or interest therein, (iii) there are no Contracts to sell, transfer, encumber, lease, license or otherwise dispose of any Company Owned Real Property or that contain a restriction on the ability of the Company Group to directly or indirectly transfer any Company Owned Real Property, (iv) no Person is occupying or in possession of any Company Owned Real Property other than a member of the Company Group, and (v) to the </w:t>
      </w:r>
      <w:r>
        <w:rPr>
          <w:rFonts w:ascii="Times New Roman" w:hAnsi="Times New Roman"/>
          <w:sz w:val="20"/>
          <w:u w:val="single"/>
        </w:rPr>
        <w:t>Knowledge of the Company</w:t>
      </w:r>
      <w:r>
        <w:rPr>
          <w:rFonts w:ascii="Times New Roman" w:hAnsi="Times New Roman"/>
          <w:sz w:val="20"/>
        </w:rPr>
        <w:t xml:space="preserve">, neither the Company or any other Person is in material default of its respective obligations arising out of any of the Company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4.14(b)</w:t>
      </w:r>
      <w:r>
        <w:rPr>
          <w:rFonts w:ascii="Times New Roman" w:hAnsi="Times New Roman"/>
          <w:sz w:val="20"/>
        </w:rPr>
        <w:t xml:space="preserve"> of the Company Disclosure Letter sets forth a true and complete list, including addresses, date of each Lease Agreement and the legal name of each of the parties to each Lease Agreement, as of immediately prior to the Effective Time, of all real property and interests in real property ground leased, leased, subleased, licensed or otherwise occupied by any member of the Company Group (collectively, in each case together with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Facilities thereon, the “</w:t>
      </w:r>
      <w:r>
        <w:rPr>
          <w:rFonts w:ascii="Times New Roman" w:hAnsi="Times New Roman"/>
          <w:sz w:val="20"/>
          <w:u w:val="single"/>
        </w:rPr>
        <w:t>Company Leased Real Property</w:t>
      </w:r>
      <w:r>
        <w:rPr>
          <w:rFonts w:ascii="Times New Roman" w:hAnsi="Times New Roman"/>
          <w:sz w:val="20"/>
        </w:rPr>
        <w:t xml:space="preserve">”). Such member of the Company Group has good and valid title to the leasehold estates in all Company Leased Real Property, in each case free and clear of all Liens other than Company Permitted Liens. The Company has made available to Parent a true and complete copy of each Lease Agreement under which the Company Leased Real Property is held. There is no material default under any such Lease Agreement by any member of the Company Group or, to the Knowledge of the Company, by any other party thereto, no event has occurred or circumstance exists which, with the delivery of notice, the passage of time or both, would constitute such a material default, or permit the termination, modification or acceleration of rent under such Lease Agreement, and there are no amounts currently disputed by any member of the Company Group and not paid to the landlords of the Company Leased Real Property. The Lease Agreements constitute the entire agreement to which any member of the Company Group is a party with respect to the Company Leased Real Property leased thereunder and are valid, binding, and enforceable and in full force and effect in accordance with their respective terms against the member of the Company Group party thereto and, to the Knowledge of the Company, against each other party thereto. No member of the Company Group has assigned, sublet, transferred, conveyed any interest in or collaterally assigned or granted any other security interest in the Company Leased Real Property or any Lease Agreement. No member of the Company Group owes any brokerage commissions or finder’s fees with respect to any Lease Agreement, and no security deposit or portion thereof deposited with respect to any Lease Agreement has been applied in respect of such Lease Agreement which has not been redeposited in full. No Person is occupying or in possession of any Company Leased Real Property other than a member of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(c) There is no pending, or to the Knowledge of the Company, threatened condemnation, eminent domain, expropriation or similar proceedings with respect to any Company Real Property. The current use of each Company Real Property is in accordance with the certificates of occupancy relating to such Company Real Property and the terms of any permits relating to such Company Real Property. No member of the Company Group has received written notice from any applicable Governmental Authority that the Company Real Property or its current use, occupancy or operation by any member of the Company Group is in breach or violation of, or default under, any applicable building, zoning, subdivision or other land use or similar Law. </w:t>
      </w:r>
    </w:p>
    <w:p>
      <w:pPr>
        <w:pStyle w:val="TextBody"/>
        <w:bidi w:val="0"/>
        <w:spacing w:before="240" w:after="0"/>
        <w:jc w:val="left"/>
        <w:rPr>
          <w:rFonts w:ascii="Times New Roman" w:hAnsi="Times New Roman"/>
          <w:sz w:val="20"/>
        </w:rPr>
      </w:pPr>
      <w:r>
        <w:rPr>
          <w:rFonts w:ascii="Times New Roman" w:hAnsi="Times New Roman"/>
          <w:sz w:val="20"/>
        </w:rPr>
        <w:t xml:space="preserve">(d) The Facilities are in good operating condition and repair (subject to normal wear and tear) and are suitable for the purposes for which such Facilities are currently being used. There are no unsatisfied material capital expenditure requirements or material remodeling obligations of any member of the Company Group pursuant to any Lease Agreement other than ordinary maintenance and repair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4.15.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4.15(a)</w:t>
      </w:r>
      <w:r>
        <w:rPr>
          <w:rFonts w:ascii="Times New Roman" w:hAnsi="Times New Roman"/>
          <w:sz w:val="20"/>
        </w:rPr>
        <w:t xml:space="preserve"> of the Company Disclosure Letter sets forth a true, accurate, and complete list, as of immediately prior to the Effective Time, of all (i) Registered Intellectual Property owned, or purported to be owned, by any member of the Company Group (collectively, the “</w:t>
      </w:r>
      <w:r>
        <w:rPr>
          <w:rFonts w:ascii="Times New Roman" w:hAnsi="Times New Roman"/>
          <w:sz w:val="20"/>
          <w:u w:val="single"/>
        </w:rPr>
        <w:t>Company Registered Intellectual Property</w:t>
      </w:r>
      <w:r>
        <w:rPr>
          <w:rFonts w:ascii="Times New Roman" w:hAnsi="Times New Roman"/>
          <w:sz w:val="20"/>
        </w:rPr>
        <w:t>”), indicating for each the applicable jurisdiction, the registrant or owner name, the registration or application number, and the date issued or filed; and (ii) unregistered Trademarks owned, or purported to be owned, by any member of the Company Group that is material to the Company Business. Such member of the Company Group is the exclusive owner of all right, title, and interest in, to, and under all material Company Registered Intellectual Property, free and clear of all Liens (other than Company Permitted Liens). Such member of the Company Group owns or has the valid right to use, pursuant to a written, valid, and enforceable license, all material Intellectual Property used in or necessary to conduct the Company Business in all material respects in substantially the same manner as conducted by the Company Group as of immediately prior to the Effective Time and as of immediately prior to the Closing (collectively, the “</w:t>
      </w:r>
      <w:r>
        <w:rPr>
          <w:rFonts w:ascii="Times New Roman" w:hAnsi="Times New Roman"/>
          <w:sz w:val="20"/>
          <w:u w:val="single"/>
        </w:rPr>
        <w:t xml:space="preserve">Company Intellectual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Property</w:t>
      </w:r>
      <w:r>
        <w:rPr>
          <w:rFonts w:ascii="Times New Roman" w:hAnsi="Times New Roman"/>
          <w:sz w:val="20"/>
        </w:rPr>
        <w:t xml:space="preserve">”). The Company Registered Intellectual Property is subsisting, valid, and enforceable. All renewal and maintenance fees in respect of each item of Company Registered Intellectual Property set forth on </w:t>
      </w:r>
      <w:r>
        <w:rPr>
          <w:rFonts w:ascii="Times New Roman" w:hAnsi="Times New Roman"/>
          <w:sz w:val="20"/>
          <w:u w:val="single"/>
        </w:rPr>
        <w:t>Section 4.15(a)</w:t>
      </w:r>
      <w:r>
        <w:rPr>
          <w:rFonts w:ascii="Times New Roman" w:hAnsi="Times New Roman"/>
          <w:sz w:val="20"/>
        </w:rPr>
        <w:t xml:space="preserve"> of the Company Disclosure Letter have been duly paid, and no additional material payments or filings for each such item will become due, and no other actions must be taken for each such item, within ninety (90) days after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Except for those matters that, individually or in the aggregate, have not been, or would not reasonably be expected to be, material to the Company Business, taken as a whole, and except as set forth on </w:t>
      </w:r>
      <w:r>
        <w:rPr>
          <w:rFonts w:ascii="Times New Roman" w:hAnsi="Times New Roman"/>
          <w:sz w:val="20"/>
          <w:u w:val="single"/>
        </w:rPr>
        <w:t>Section 4.15(b)</w:t>
      </w:r>
      <w:r>
        <w:rPr>
          <w:rFonts w:ascii="Times New Roman" w:hAnsi="Times New Roman"/>
          <w:sz w:val="20"/>
        </w:rPr>
        <w:t xml:space="preserve"> of the Company Disclosure Letter, (i) no Actions are pending or, since the Lookback Date, have been threatened in writing or, to the Knowledge of the Company, orally threatened, to any member of the Company Group by any Person relating to the Company Business (A) claiming that any member of the Company Group is infringing, diluting, misappropriating, or otherwise violating, or has infringed, diluted, misappropriated, or otherwise violated, any third-party Intellectual Property, or (B) challenging the validity, ownership, patentability, enforceability, ability to register, or use by the Company Group of any Company Intellectual Property (including Actions before the United States Patent and Trademark Office or comparable foreign Governmental Authorities, but excluding non-final office actions or similar ordinary-course proceedings received during prosecution and not involving a third party); (ii) the conduct of the Company Business, including the provision of products and services in connection with the Company Business, does not infringe, dilute, misappropriate, or otherwise violate, and has not infringed, diluted, misappropriated, or otherwise violated any Intellectual Property of another Person since the Lookback Date; (iii) no member of the Company Group has filed any Action or threatened in writing any claim against any third Person alleging that such Person infringes, dilutes, misappropriates, or otherwise violates any Company Intellectual Property; and (iv) to the Knowledge of the Company, as of immediately prior to the Effective Time, no Person is infringing, diluting, misappropriating, or otherwise violating any Company Owned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(c) Except for those matters that, individually or in the aggregate, have not been, or would not reasonably be expected to be, material to the Company Business, taken as a whole, all Persons, including past and present employees and contractors of the Company Group, who have contributed to or participated in the conception, modification, improvement, or development of any Company Owned Intellectual Property have entered into written agreements with the applicable member of the Company Group pursuant to which such Persons assign ownership of all their rights, title, and interests in, to, and under such Intellectual Property exclusively to the applicable member of the Company Group (to the extent such Intellectual Property would not be owned by a member of the Company Group by operation of Law). To the Knowledge of the Company, no such Person is in breach of such agreements. </w:t>
      </w:r>
    </w:p>
    <w:p>
      <w:pPr>
        <w:pStyle w:val="TextBody"/>
        <w:bidi w:val="0"/>
        <w:spacing w:before="240" w:after="0"/>
        <w:jc w:val="left"/>
        <w:rPr>
          <w:rFonts w:ascii="Times New Roman" w:hAnsi="Times New Roman"/>
          <w:sz w:val="20"/>
        </w:rPr>
      </w:pPr>
      <w:r>
        <w:rPr>
          <w:rFonts w:ascii="Times New Roman" w:hAnsi="Times New Roman"/>
          <w:sz w:val="20"/>
        </w:rPr>
        <w:t xml:space="preserve">(d) The Company Group has taken commercially reasonable steps necessary to preserve and protect all material Company Owned Intellectual Property and maintain the confidentiality of all material confidential Company Intellectual Property, including material confidential and proprietary Know-How included in the Company Intellectual Property, and to comply with all duties to protect confidential information provided to a member of the Company Group by another Person. No member of the Company Group has disclosed any material confidential Company Intellectual Property to any third Person, other than pursuant to a written confidentiality agreement pursuant to which such third Person agrees to protect such confidential Company Intellectual Property. To the Knowledge of the Company, no such Person is in breach of any confidentiality obligations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Except for those matters that, individually or in the aggregate, have not had and would not reasonably be expected to have a Company Material Adverse Effect, (i) each of the IT Systems used by the Company Group operates and performs as required to permit the Company Group to conduct the Company Business as currently conducted, and a member of the Company Group owns or otherwise has the right, pursuant to a written, valid, and enforceable license, to use all such IT Systems; (ii) the Company Group takes and has taken commercially reasonable actions necessary to protect the security and integrity of the IT Systems used by the Company Group and the data stored or contained therein or transmitted thereby, and there has not been any failure, defect, malfunction, unplanned downtime, service interruption, or other problem with respect to any of the IT Systems used by the Company Group that would prevent the same from performing substantially in accordance with its documentation or specifications in all material respects, and that has not been remedied or replaced in all respects; (iii) the Company Group has implemented and maintained disaster recovery and business continuity measures; and (iv) the IT Systems used by the Company Group are free from surreptitious computer code or instructions designed to disrupt, disable, harm, or provide unauthorized access to such IT Systems and the data stored or contained therein or transmitted thereby, and no member of the Company Group has received any claims from any third Person related to such code. </w:t>
      </w:r>
    </w:p>
    <w:p>
      <w:pPr>
        <w:pStyle w:val="TextBody"/>
        <w:bidi w:val="0"/>
        <w:spacing w:before="240" w:after="0"/>
        <w:jc w:val="left"/>
        <w:rPr>
          <w:rFonts w:ascii="Times New Roman" w:hAnsi="Times New Roman"/>
          <w:sz w:val="20"/>
        </w:rPr>
      </w:pPr>
      <w:r>
        <w:rPr>
          <w:rFonts w:ascii="Times New Roman" w:hAnsi="Times New Roman"/>
          <w:sz w:val="20"/>
        </w:rPr>
        <w:t xml:space="preserve">(f) Except for permissive reciprocal licenses, no member of the Company Group has incorporated or otherwise used open-source materials with any material products or Software in a manner that would obligate such member of the Company Group (i) to disclose or distribute any Software in source code form, (ii) license or otherwise make available any of its material Software on a royalty-free basis, or (iii) grant any rights to material Company Owned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(g) Except for back-office uses in the Ordinary Course of Business, no member of the Company Group accesses, procures, obtains, generates, uses, or relies upon any subscription-based or enterprise AI in the operation of the Company Business as presently conducted and as presently proposed to be conducted, and no Company Owned Intellectual Property incorporates, is based upon, or is derived from AI. </w:t>
      </w:r>
    </w:p>
    <w:p>
      <w:pPr>
        <w:pStyle w:val="TextBody"/>
        <w:bidi w:val="0"/>
        <w:spacing w:before="240" w:after="0"/>
        <w:jc w:val="left"/>
        <w:rPr>
          <w:rFonts w:ascii="Times New Roman" w:hAnsi="Times New Roman"/>
          <w:sz w:val="20"/>
        </w:rPr>
      </w:pPr>
      <w:r>
        <w:rPr>
          <w:rFonts w:ascii="Times New Roman" w:hAnsi="Times New Roman"/>
          <w:sz w:val="20"/>
        </w:rPr>
        <w:t xml:space="preserve">Section 4.16. </w:t>
      </w:r>
      <w:r>
        <w:rPr>
          <w:rFonts w:ascii="Times New Roman" w:hAnsi="Times New Roman"/>
          <w:sz w:val="20"/>
          <w:u w:val="single"/>
        </w:rPr>
        <w:t>Privacy and Data Security</w:t>
      </w:r>
      <w:r>
        <w:rPr>
          <w:rFonts w:ascii="Times New Roman" w:hAnsi="Times New Roman"/>
          <w:sz w:val="20"/>
        </w:rPr>
        <w:t xml:space="preserve">. The Company Group is and, since the Lookback Date, has been in material compliance with all applicable Privacy and Data Security Requirements. The Company Group implements and maintains commercially reasonable policies, procedures, and administrative, technical, physical, and organizational safeguards designed to protect the security, confidentiality, and integrity of data, including any and all Personal Information stored in the Company Group’s IT Systems, as required by applicable Privacy and Data Security Requirements. The Company Group has not received any written communication from any individuals or Governmental Authority alleging violations of any Privacy and Data Security Requirements Laws, except as would not reasonably be expected to be material to the Company Group. Since the Lookback Date, there has been no material unauthorized access to or use, theft, or disclosure of any Personal Information in the possession or control of any member of the Company Group or, to the Knowledge of the Company, any third Person Processing Personal Information on behalf of the Company Group, that would require notification of individuals, law enforcement, or any Governmental Authority under any applicable Privacy and Data Security Requirements. To the Knowledge of the Company, no investigations by any Governmental Authority regarding the Processing of Personal Information by any member of the Company Group, or any third-party Person Processing Personal Information on behalf of the Company Group, are pending. </w:t>
      </w:r>
    </w:p>
    <w:p>
      <w:pPr>
        <w:pStyle w:val="TextBody"/>
        <w:bidi w:val="0"/>
        <w:spacing w:before="240" w:after="0"/>
        <w:jc w:val="left"/>
        <w:rPr>
          <w:rFonts w:ascii="Times New Roman" w:hAnsi="Times New Roman"/>
          <w:sz w:val="20"/>
        </w:rPr>
      </w:pPr>
      <w:r>
        <w:rPr>
          <w:rFonts w:ascii="Times New Roman" w:hAnsi="Times New Roman"/>
          <w:sz w:val="20"/>
        </w:rPr>
        <w:t xml:space="preserve">Section 4.17. </w:t>
      </w:r>
      <w:r>
        <w:rPr>
          <w:rFonts w:ascii="Times New Roman" w:hAnsi="Times New Roman"/>
          <w:sz w:val="20"/>
          <w:u w:val="single"/>
        </w:rPr>
        <w:t>Material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4.17(a)</w:t>
      </w:r>
      <w:r>
        <w:rPr>
          <w:rFonts w:ascii="Times New Roman" w:hAnsi="Times New Roman"/>
          <w:sz w:val="20"/>
        </w:rPr>
        <w:t xml:space="preserve"> of the Company Disclosure Letter sets forth a true, accurate and complete list of all Company Material Contracts. For purposes of this Agreement, “</w:t>
      </w:r>
      <w:r>
        <w:rPr>
          <w:rFonts w:ascii="Times New Roman" w:hAnsi="Times New Roman"/>
          <w:sz w:val="20"/>
          <w:u w:val="single"/>
        </w:rPr>
        <w:t>Company Material Contract</w:t>
      </w:r>
      <w:r>
        <w:rPr>
          <w:rFonts w:ascii="Times New Roman" w:hAnsi="Times New Roman"/>
          <w:sz w:val="20"/>
        </w:rPr>
        <w:t xml:space="preserve">” means any of the following Contracts to which any member of the Company Group is a party or by which any of their respective properties or assets or the Company Business is otherwise bound, other than a Company Benefit Plan (except with respect to clause (xx) below) or Canada Benefit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any Contract concerning, consisting of, or relating to a partnership, joint venture, or similar agreement involving a sharing of profits, losses, costs, or liabilities with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(ii) any Contract that relates to the acquisition or disposition of any business by Company or any Company Subsidiary (whether by merger or the sale of stock, other equity interests, assets, or otherwise) (A) relating to the Company Business that was entered into after the Lookback Date, or (B) pursuant to which the Company or any of its Subsidiaries has continuing purchase price adjustment, indemnification, “earn-out,” or other contingent payment obligations, excluding (x) acquisitions or dispositions of Inventory, supplies, materials, or products in the Ordinary Course of Business, and (y) dispositions of obsolete or worn-out assets that are no longer used or useful in the operation or conduct of the Company Business; </w:t>
      </w:r>
    </w:p>
    <w:p>
      <w:pPr>
        <w:pStyle w:val="TextBody"/>
        <w:bidi w:val="0"/>
        <w:spacing w:before="240" w:after="0"/>
        <w:jc w:val="left"/>
        <w:rPr>
          <w:rFonts w:ascii="Times New Roman" w:hAnsi="Times New Roman"/>
          <w:sz w:val="20"/>
        </w:rPr>
      </w:pPr>
      <w:r>
        <w:rPr>
          <w:rFonts w:ascii="Times New Roman" w:hAnsi="Times New Roman"/>
          <w:sz w:val="20"/>
        </w:rPr>
        <w:t xml:space="preserve">(iii) any Contracts for Indebtedness (contingent or otherwise), or any Contracts guaranteeing or providing security for any Indebtedness (excluding Indebtedness among members of the Company Group), in each case, having an aggregate principal amount in excess of $500,000, or any agreement resulting in or authorizing any Lien (other than Company Permitted Liens) on any assets of the Company Group or on any Company Owned Real Property; </w:t>
      </w:r>
    </w:p>
    <w:p>
      <w:pPr>
        <w:pStyle w:val="TextBody"/>
        <w:bidi w:val="0"/>
        <w:spacing w:before="240" w:after="0"/>
        <w:jc w:val="left"/>
        <w:rPr>
          <w:rFonts w:ascii="Times New Roman" w:hAnsi="Times New Roman"/>
          <w:sz w:val="20"/>
        </w:rPr>
      </w:pPr>
      <w:r>
        <w:rPr>
          <w:rFonts w:ascii="Times New Roman" w:hAnsi="Times New Roman"/>
          <w:sz w:val="20"/>
        </w:rPr>
        <w:t xml:space="preserve">(iv) any Contract that obligates any member of the Company Group to make any capital expenditure or capital commitment (or series of capital expenditures or capital commitments) in an amount that, individually or in the aggregate, is in excess of $500,000; </w:t>
      </w:r>
    </w:p>
    <w:p>
      <w:pPr>
        <w:pStyle w:val="TextBody"/>
        <w:bidi w:val="0"/>
        <w:spacing w:before="240" w:after="0"/>
        <w:jc w:val="left"/>
        <w:rPr>
          <w:rFonts w:ascii="Times New Roman" w:hAnsi="Times New Roman"/>
          <w:sz w:val="20"/>
        </w:rPr>
      </w:pPr>
      <w:r>
        <w:rPr>
          <w:rFonts w:ascii="Times New Roman" w:hAnsi="Times New Roman"/>
          <w:sz w:val="20"/>
        </w:rPr>
        <w:t xml:space="preserve">(v) any Contract (A) the performance of which mandates payment of consideration in excess of $500,000 annually and (B) is not terminable by a member of the Company Group at will without material Liability on less than ninety (90) days’ notice; </w:t>
      </w:r>
    </w:p>
    <w:p>
      <w:pPr>
        <w:pStyle w:val="TextBody"/>
        <w:bidi w:val="0"/>
        <w:spacing w:before="240" w:after="0"/>
        <w:jc w:val="left"/>
        <w:rPr>
          <w:rFonts w:ascii="Times New Roman" w:hAnsi="Times New Roman"/>
          <w:sz w:val="20"/>
        </w:rPr>
      </w:pPr>
      <w:r>
        <w:rPr>
          <w:rFonts w:ascii="Times New Roman" w:hAnsi="Times New Roman"/>
          <w:sz w:val="20"/>
        </w:rPr>
        <w:t xml:space="preserve">(vi) any Contract relating to confidentiality, non-solicitation (of customers or employees) or non-competition restrictions or that otherwise imposes a material restriction on business and operations of the Company Group (including restrictions on operating in any material line of business, in any geographical location, or with any Person) or which contains any material exclusivity provisions relating to the Company Business (in each case other than any Contract entered into in the Ordinary Course of Business containing exclusive partnering arrangements with respect to one or more projects or bids); </w:t>
      </w:r>
    </w:p>
    <w:p>
      <w:pPr>
        <w:pStyle w:val="TextBody"/>
        <w:bidi w:val="0"/>
        <w:spacing w:before="240" w:after="0"/>
        <w:jc w:val="left"/>
        <w:rPr>
          <w:rFonts w:ascii="Times New Roman" w:hAnsi="Times New Roman"/>
          <w:sz w:val="20"/>
        </w:rPr>
      </w:pPr>
      <w:r>
        <w:rPr>
          <w:rFonts w:ascii="Times New Roman" w:hAnsi="Times New Roman"/>
          <w:sz w:val="20"/>
        </w:rPr>
        <w:t xml:space="preserve">(vii) any Contract pursuant to which a member of the Company Group has agreed to settle, waive, or otherwise compromise any pending or threatened Action or other dispute, including any settlement, conciliation or similar agreement with any Governmental Authority or other Person; </w:t>
      </w:r>
    </w:p>
    <w:p>
      <w:pPr>
        <w:pStyle w:val="TextBody"/>
        <w:bidi w:val="0"/>
        <w:spacing w:before="240" w:after="0"/>
        <w:jc w:val="left"/>
        <w:rPr>
          <w:rFonts w:ascii="Times New Roman" w:hAnsi="Times New Roman"/>
          <w:sz w:val="20"/>
        </w:rPr>
      </w:pPr>
      <w:r>
        <w:rPr>
          <w:rFonts w:ascii="Times New Roman" w:hAnsi="Times New Roman"/>
          <w:sz w:val="20"/>
        </w:rPr>
        <w:t xml:space="preserve">(viii) any Contract that (A) grants, or agrees to grant, any Person a right to “most favored nation” or similar terms, (B) contains any requirement or output requirements, or (C) contains any minimum purchase or sale requirements; </w:t>
      </w:r>
    </w:p>
    <w:p>
      <w:pPr>
        <w:pStyle w:val="TextBody"/>
        <w:bidi w:val="0"/>
        <w:spacing w:before="240" w:after="0"/>
        <w:jc w:val="left"/>
        <w:rPr>
          <w:rFonts w:ascii="Times New Roman" w:hAnsi="Times New Roman"/>
          <w:sz w:val="20"/>
        </w:rPr>
      </w:pPr>
      <w:r>
        <w:rPr>
          <w:rFonts w:ascii="Times New Roman" w:hAnsi="Times New Roman"/>
          <w:sz w:val="20"/>
        </w:rPr>
        <w:t xml:space="preserve">(ix) any Contract that evidences any obligations of the Company with respect to the issuance, sale, voting, repurchase or redemption of any Equity Interests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any Contract under which a member of the Company Group has permitted any Company Asset or Equity Interests to become subject to any Lien (other than a Company Permitted Lien); </w:t>
      </w:r>
    </w:p>
    <w:p>
      <w:pPr>
        <w:pStyle w:val="TextBody"/>
        <w:bidi w:val="0"/>
        <w:spacing w:before="240" w:after="0"/>
        <w:jc w:val="left"/>
        <w:rPr>
          <w:rFonts w:ascii="Times New Roman" w:hAnsi="Times New Roman"/>
          <w:sz w:val="20"/>
        </w:rPr>
      </w:pPr>
      <w:r>
        <w:rPr>
          <w:rFonts w:ascii="Times New Roman" w:hAnsi="Times New Roman"/>
          <w:sz w:val="20"/>
        </w:rPr>
        <w:t xml:space="preserve">(xi) any Contract that constitutes an interest rate, currency or commodity derivative or other Contract relating to hedging; </w:t>
      </w:r>
    </w:p>
    <w:p>
      <w:pPr>
        <w:pStyle w:val="TextBody"/>
        <w:bidi w:val="0"/>
        <w:spacing w:before="240" w:after="0"/>
        <w:jc w:val="left"/>
        <w:rPr>
          <w:rFonts w:ascii="Times New Roman" w:hAnsi="Times New Roman"/>
          <w:sz w:val="20"/>
        </w:rPr>
      </w:pPr>
      <w:r>
        <w:rPr>
          <w:rFonts w:ascii="Times New Roman" w:hAnsi="Times New Roman"/>
          <w:sz w:val="20"/>
        </w:rPr>
        <w:t xml:space="preserve">(xii) any Contract with a Top Customer; </w:t>
      </w:r>
    </w:p>
    <w:p>
      <w:pPr>
        <w:pStyle w:val="TextBody"/>
        <w:bidi w:val="0"/>
        <w:spacing w:before="240" w:after="0"/>
        <w:jc w:val="left"/>
        <w:rPr>
          <w:rFonts w:ascii="Times New Roman" w:hAnsi="Times New Roman"/>
          <w:sz w:val="20"/>
        </w:rPr>
      </w:pPr>
      <w:r>
        <w:rPr>
          <w:rFonts w:ascii="Times New Roman" w:hAnsi="Times New Roman"/>
          <w:sz w:val="20"/>
        </w:rPr>
        <w:t xml:space="preserve">(xiii) any Contract with a Top Vendor; </w:t>
      </w:r>
    </w:p>
    <w:p>
      <w:pPr>
        <w:pStyle w:val="TextBody"/>
        <w:bidi w:val="0"/>
        <w:spacing w:before="240" w:after="0"/>
        <w:jc w:val="left"/>
        <w:rPr>
          <w:rFonts w:ascii="Times New Roman" w:hAnsi="Times New Roman"/>
          <w:sz w:val="20"/>
        </w:rPr>
      </w:pPr>
      <w:r>
        <w:rPr>
          <w:rFonts w:ascii="Times New Roman" w:hAnsi="Times New Roman"/>
          <w:sz w:val="20"/>
        </w:rPr>
        <w:t xml:space="preserve">(xiv) any deferred compensation, change in control or “parachute” agreement, vesting acceleration, debt forgiveness, transaction bonus, severance or other plan or arrangement for the benefit of any officers and/or employees of any member of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(xv) any Contract that is a lease under which a member of the Company Group is lessor of, or permits any third party to hold or operate any, material tangible personal property owned or controlled by a member of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(xvi) any Contract pursuant to which a member of the Company Group has agreed to indemnify another Person or guarantee the Liabilities or obligations of another Person, other than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(xvii) any Lease Agreement; </w:t>
      </w:r>
    </w:p>
    <w:p>
      <w:pPr>
        <w:pStyle w:val="TextBody"/>
        <w:bidi w:val="0"/>
        <w:spacing w:before="240" w:after="0"/>
        <w:jc w:val="left"/>
        <w:rPr>
          <w:rFonts w:ascii="Times New Roman" w:hAnsi="Times New Roman"/>
          <w:sz w:val="20"/>
        </w:rPr>
      </w:pPr>
      <w:r>
        <w:rPr>
          <w:rFonts w:ascii="Times New Roman" w:hAnsi="Times New Roman"/>
          <w:sz w:val="20"/>
        </w:rPr>
        <w:t xml:space="preserve">(xviii) any Labor Agreement; </w:t>
      </w:r>
    </w:p>
    <w:p>
      <w:pPr>
        <w:pStyle w:val="TextBody"/>
        <w:bidi w:val="0"/>
        <w:spacing w:before="240" w:after="0"/>
        <w:jc w:val="left"/>
        <w:rPr>
          <w:rFonts w:ascii="Times New Roman" w:hAnsi="Times New Roman"/>
          <w:sz w:val="20"/>
        </w:rPr>
      </w:pPr>
      <w:r>
        <w:rPr>
          <w:rFonts w:ascii="Times New Roman" w:hAnsi="Times New Roman"/>
          <w:sz w:val="20"/>
        </w:rPr>
        <w:t xml:space="preserve">(xix) any Related Party Arrangement; </w:t>
      </w:r>
    </w:p>
    <w:p>
      <w:pPr>
        <w:pStyle w:val="TextBody"/>
        <w:bidi w:val="0"/>
        <w:spacing w:before="240" w:after="0"/>
        <w:jc w:val="left"/>
        <w:rPr>
          <w:rFonts w:ascii="Times New Roman" w:hAnsi="Times New Roman"/>
          <w:sz w:val="20"/>
        </w:rPr>
      </w:pPr>
      <w:r>
        <w:rPr>
          <w:rFonts w:ascii="Times New Roman" w:hAnsi="Times New Roman"/>
          <w:sz w:val="20"/>
        </w:rPr>
        <w:t xml:space="preserve">(xx) any employment or consulting agreement between the Company or any of its Subsidiaries and any of the employees or consultants of the Company or any of its Subsidiaries that (A) obligates the Company or any of its Subsidiaries to make annual cash payments in an amount exceeding $250,000 (excluding any employment or consulting agreement with the Canadian Subsidiary); or (B) contains non-competition provisions for the benefit of the Company or any of its Subsidiaries from an employee or an independent consultant; </w:t>
      </w:r>
    </w:p>
    <w:p>
      <w:pPr>
        <w:pStyle w:val="TextBody"/>
        <w:bidi w:val="0"/>
        <w:spacing w:before="240" w:after="0"/>
        <w:jc w:val="left"/>
        <w:rPr>
          <w:rFonts w:ascii="Times New Roman" w:hAnsi="Times New Roman"/>
          <w:sz w:val="20"/>
        </w:rPr>
      </w:pPr>
      <w:r>
        <w:rPr>
          <w:rFonts w:ascii="Times New Roman" w:hAnsi="Times New Roman"/>
          <w:sz w:val="20"/>
        </w:rPr>
        <w:t xml:space="preserve">(xxi) any license or other Contract, excluding Government Contracts, (A) pursuant to which a member of the Company Group granted a third-party Person a right, license, or sublicense to use any Intellectual Property that is material to the operation and conduct of the Company Business; (B) pursuant to which a member of the Company Group grants to a third-party Person a right, license, or sublicense to use any material Company Intellectual Property; (C) relating to the ownership or development of material Company Intellectual Property; or (D) entered into in connection with the resolution of any claim or dispute related to Intellectual Property that is material to the operation and conduct of the Company Business, such as consent-to-use, covenant-not-to-sue, coexistence, concurrent use, or settlement agreements; except, in each case, (1) standard off-the-shelf software license agreements entered into in the Ordinary Course of Business; (2) non-exclusive licenses granted in the Ordinary Course of Business; (3) Contracts under which a license to Intellectual Property is merely incidental to the transaction contemplated in such Contract; (4) confidentiality and non-disclosure agreements entered into in the Ordinary Course of Business and on a standard form (or a substantially similar form) of Company or any of its Subsidiaries; and (5) proprietary rights agreements with employees or contractors on a standard form (or a substantially similar form) of the Company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(xxii) any intercompany Contract between the Canadian Subsidiary and any other member of the Company Group (including management services, intellectual property licensing, cost-sharing, or other intercompany arrangements); and </w:t>
      </w:r>
    </w:p>
    <w:p>
      <w:pPr>
        <w:pStyle w:val="TextBody"/>
        <w:bidi w:val="0"/>
        <w:spacing w:before="240" w:after="0"/>
        <w:jc w:val="left"/>
        <w:rPr>
          <w:rFonts w:ascii="Times New Roman" w:hAnsi="Times New Roman"/>
          <w:sz w:val="20"/>
        </w:rPr>
      </w:pPr>
      <w:r>
        <w:rPr>
          <w:rFonts w:ascii="Times New Roman" w:hAnsi="Times New Roman"/>
          <w:sz w:val="20"/>
        </w:rPr>
        <w:t xml:space="preserve">(xxiii) any Contract to which the Canadian Subsidiary is a party with a Canadian Governmental Authority (federal, provincial, or municipal), regardless of dollar threshold. </w:t>
      </w:r>
    </w:p>
    <w:p>
      <w:pPr>
        <w:pStyle w:val="TextBody"/>
        <w:bidi w:val="0"/>
        <w:spacing w:before="240" w:after="0"/>
        <w:jc w:val="left"/>
        <w:rPr>
          <w:rFonts w:ascii="Times New Roman" w:hAnsi="Times New Roman"/>
          <w:sz w:val="20"/>
        </w:rPr>
      </w:pPr>
      <w:r>
        <w:rPr>
          <w:rFonts w:ascii="Times New Roman" w:hAnsi="Times New Roman"/>
          <w:sz w:val="20"/>
        </w:rPr>
        <w:t xml:space="preserve">(b) Each of the Company Material Contracts disclosed on </w:t>
      </w:r>
      <w:r>
        <w:rPr>
          <w:rFonts w:ascii="Times New Roman" w:hAnsi="Times New Roman"/>
          <w:sz w:val="20"/>
          <w:u w:val="single"/>
        </w:rPr>
        <w:t>Section 4.17(a)</w:t>
      </w:r>
      <w:r>
        <w:rPr>
          <w:rFonts w:ascii="Times New Roman" w:hAnsi="Times New Roman"/>
          <w:sz w:val="20"/>
        </w:rPr>
        <w:t xml:space="preserve"> of the Company Disclosure Letter is valid and binding upon each party thereto, enforceable against each party thereto, and in full force and effect. No member of the Company Group is and, to the Knowledge of the Company, no other party to any Company Material Contract, is in material breach or violation of, or default under, or has repudiated any material provision of, any Company Material Contract. No event has occurred that (with the lapse of time or the giving of notice, or both) would constitute a material breach or violation of, or default, or permit termination, material modification, or acceleration, as applicable, under any Company Material Contract on the part of the Company Group, or, to the Knowledge of the Company, any other party. No party to any Company Material Contract has exercised any termination rights with respect thereto, and no member of the Company Group has received any notice, indication or communication from any party to any Company Material Contract to the effect that such party will, or has threatened to, terminate, not renew or materially modify the terms, conditions or provisions (including with respect to payment or pricing) with respect to such Company Material Contract.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Group has made available to Parent true, accurate and complete copies of each Company Material Contract (including all modifications, amendments, supplements, appendices, schedules, exhibits and attachments thereto and waivers thereunder) required to be disclosed on </w:t>
      </w:r>
      <w:r>
        <w:rPr>
          <w:rFonts w:ascii="Times New Roman" w:hAnsi="Times New Roman"/>
          <w:sz w:val="20"/>
          <w:u w:val="single"/>
        </w:rPr>
        <w:t>Section 4.17(a)</w:t>
      </w:r>
      <w:r>
        <w:rPr>
          <w:rFonts w:ascii="Times New Roman" w:hAnsi="Times New Roman"/>
          <w:sz w:val="20"/>
        </w:rPr>
        <w:t xml:space="preserve"> of the Company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Section 4.18. </w:t>
      </w:r>
      <w:r>
        <w:rPr>
          <w:rFonts w:ascii="Times New Roman" w:hAnsi="Times New Roman"/>
          <w:sz w:val="20"/>
          <w:u w:val="single"/>
        </w:rPr>
        <w:t>Government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4.18(a)</w:t>
      </w:r>
      <w:r>
        <w:rPr>
          <w:rFonts w:ascii="Times New Roman" w:hAnsi="Times New Roman"/>
          <w:sz w:val="20"/>
        </w:rPr>
        <w:t xml:space="preserve"> of the Company Disclosure Letter sets forth a true, accurate and complete list of (i) all active Government Contracts valued above $100,000; and (ii) all Government Bids valued above $100,000.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4.18(b)</w:t>
      </w:r>
      <w:r>
        <w:rPr>
          <w:rFonts w:ascii="Times New Roman" w:hAnsi="Times New Roman"/>
          <w:sz w:val="20"/>
        </w:rPr>
        <w:t xml:space="preserve"> of the Company Disclosure Letter sets forth a true and complete list of the Government Contracts that, to the Knowledge of the Company, were awarded to the Company Group based on small business status, small disadvantaged business, a woman-owned small business, a service disabled veteran owned small business or a Small Business Administration Section 8(a) program participation (“</w:t>
      </w:r>
      <w:r>
        <w:rPr>
          <w:rFonts w:ascii="Times New Roman" w:hAnsi="Times New Roman"/>
          <w:sz w:val="20"/>
          <w:u w:val="single"/>
        </w:rPr>
        <w:t>Preferred Status</w:t>
      </w:r>
      <w:r>
        <w:rPr>
          <w:rFonts w:ascii="Times New Roman" w:hAnsi="Times New Roman"/>
          <w:sz w:val="20"/>
        </w:rPr>
        <w:t xml:space="preserve">”). Except as set forth on </w:t>
      </w:r>
      <w:r>
        <w:rPr>
          <w:rFonts w:ascii="Times New Roman" w:hAnsi="Times New Roman"/>
          <w:sz w:val="20"/>
          <w:u w:val="single"/>
        </w:rPr>
        <w:t>Section 4.18(b)</w:t>
      </w:r>
      <w:r>
        <w:rPr>
          <w:rFonts w:ascii="Times New Roman" w:hAnsi="Times New Roman"/>
          <w:sz w:val="20"/>
        </w:rPr>
        <w:t xml:space="preserve"> of the Company Disclosure Letter, all representations made by the Company Group in connection with any Government Contract about Preferred Status were in all material respects accurate, complete and in compliance with all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(c) The representations, certifications and warranties made by any member of the Company Group to the applicable Governmental Authority or any other Person with respect to any Government Contract entered into within the past four (4) years or that otherwise has unfulfilled obligations, or with respect to any Government Bid were accurate in all material respects as of their effective date, and the applicable member of the Company Group has complied with all such certifications;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In the past four (4) years, (i) the Company Group has been, and is currently, in compliance in all material respects with the terms and conditions of each Government Contract and Government Bid, and has been performing in all material respects all obligations required to be performed by it thereunder; (ii) the Company Group has been, and is currently, in compliance with all Laws, in all material respects, related to the performance of Government Contracts or the submission of Government Bids to the extent applicable to the Company Group, including, without limitation, the Anti-Kickback Act, the Procurement Integrity Act, the civil False Claims Act, the Truthful Cost and Pricing Statute (formerly known as the Truth in Negotiations Act), applicable provisions of the Federal Acquisition Regulation (including any applicable agency supplements), the Service Contract Act, the Davis Bacon Act, and Executive Orders applicable to the Government Contracts; </w:t>
      </w:r>
    </w:p>
    <w:p>
      <w:pPr>
        <w:pStyle w:val="TextBody"/>
        <w:bidi w:val="0"/>
        <w:spacing w:before="240" w:after="0"/>
        <w:jc w:val="left"/>
        <w:rPr>
          <w:rFonts w:ascii="Times New Roman" w:hAnsi="Times New Roman"/>
          <w:sz w:val="20"/>
        </w:rPr>
      </w:pPr>
      <w:r>
        <w:rPr>
          <w:rFonts w:ascii="Times New Roman" w:hAnsi="Times New Roman"/>
          <w:sz w:val="20"/>
        </w:rPr>
        <w:t xml:space="preserve">(e) No member of the Company Group has received written notice of any pending or, to the Knowledge of the Company, threatened Action against a member of the Company Group relating to any Government Contract or Government Bid; </w:t>
      </w:r>
    </w:p>
    <w:p>
      <w:pPr>
        <w:pStyle w:val="TextBody"/>
        <w:bidi w:val="0"/>
        <w:spacing w:before="240" w:after="0"/>
        <w:jc w:val="left"/>
        <w:rPr>
          <w:rFonts w:ascii="Times New Roman" w:hAnsi="Times New Roman"/>
          <w:sz w:val="20"/>
        </w:rPr>
      </w:pPr>
      <w:r>
        <w:rPr>
          <w:rFonts w:ascii="Times New Roman" w:hAnsi="Times New Roman"/>
          <w:sz w:val="20"/>
        </w:rPr>
        <w:t xml:space="preserve">(f) No member of the Company Group has made, nor to the Knowledge of the Company, is a member of the Company Group required to make, any disclosure to a Governmental Authority or any other Person, in connection with any Government Contract or Government Bid, under FAR Subpart 3.1003 or FAR 52.203-13; </w:t>
      </w:r>
    </w:p>
    <w:p>
      <w:pPr>
        <w:pStyle w:val="TextBody"/>
        <w:bidi w:val="0"/>
        <w:spacing w:before="240" w:after="0"/>
        <w:jc w:val="left"/>
        <w:rPr>
          <w:rFonts w:ascii="Times New Roman" w:hAnsi="Times New Roman"/>
          <w:sz w:val="20"/>
        </w:rPr>
      </w:pPr>
      <w:r>
        <w:rPr>
          <w:rFonts w:ascii="Times New Roman" w:hAnsi="Times New Roman"/>
          <w:sz w:val="20"/>
        </w:rPr>
        <w:t xml:space="preserve">(g) There are no events or omissions to the Knowledge of the Company that could reasonably be expected to result in (i) a material claim against the Company Group by a Governmental Authority or any other Person arising under or relating to any Government Contract or Government Bid or (ii) a material dispute between the Company Group on the one hand, and a Governmental Authority or any other Person, on the other hand, arising under or relating to any Government Contract or Government Bid; and </w:t>
      </w:r>
    </w:p>
    <w:p>
      <w:pPr>
        <w:pStyle w:val="TextBody"/>
        <w:bidi w:val="0"/>
        <w:spacing w:before="240" w:after="0"/>
        <w:jc w:val="left"/>
        <w:rPr>
          <w:rFonts w:ascii="Times New Roman" w:hAnsi="Times New Roman"/>
          <w:sz w:val="20"/>
        </w:rPr>
      </w:pPr>
      <w:r>
        <w:rPr>
          <w:rFonts w:ascii="Times New Roman" w:hAnsi="Times New Roman"/>
          <w:sz w:val="20"/>
        </w:rPr>
        <w:t xml:space="preserve">(h) In the past four (4) years, no member of the Company Group has (i) been suspended or debarred from bidding on government contracts by a Governmental Authority, (ii) received from any Governmental Authority or any other Person any written notice of breach, cure, show cause or default with respect to any Government Contract or (iii) had any Government Contract terminated by any Governmental Authority or any other Person for default or failure to perform. </w:t>
      </w:r>
    </w:p>
    <w:p>
      <w:pPr>
        <w:pStyle w:val="TextBody"/>
        <w:bidi w:val="0"/>
        <w:spacing w:before="240" w:after="0"/>
        <w:jc w:val="left"/>
        <w:rPr>
          <w:rFonts w:ascii="Times New Roman" w:hAnsi="Times New Roman"/>
          <w:sz w:val="20"/>
        </w:rPr>
      </w:pPr>
      <w:r>
        <w:rPr>
          <w:rFonts w:ascii="Times New Roman" w:hAnsi="Times New Roman"/>
          <w:sz w:val="20"/>
        </w:rPr>
        <w:t xml:space="preserve">Section 4.19. </w:t>
      </w:r>
      <w:r>
        <w:rPr>
          <w:rFonts w:ascii="Times New Roman" w:hAnsi="Times New Roman"/>
          <w:sz w:val="20"/>
          <w:u w:val="single"/>
        </w:rPr>
        <w:t>Related Party Arrangements</w:t>
      </w:r>
      <w:r>
        <w:rPr>
          <w:rFonts w:ascii="Times New Roman" w:hAnsi="Times New Roman"/>
          <w:sz w:val="20"/>
        </w:rPr>
        <w:t xml:space="preserve">. Except as set forth in </w:t>
      </w:r>
      <w:r>
        <w:rPr>
          <w:rFonts w:ascii="Times New Roman" w:hAnsi="Times New Roman"/>
          <w:sz w:val="20"/>
          <w:u w:val="single"/>
        </w:rPr>
        <w:t>Section 4.19</w:t>
      </w:r>
      <w:r>
        <w:rPr>
          <w:rFonts w:ascii="Times New Roman" w:hAnsi="Times New Roman"/>
          <w:sz w:val="20"/>
        </w:rPr>
        <w:t xml:space="preserve"> of the Company Disclosure Letter, no Affiliate, officer, manager, equityholder or director of the Company Group, nor any immediate family member or any individual of which such Person owns any material interest or any Affiliate of such Person (each, a “</w:t>
      </w:r>
      <w:r>
        <w:rPr>
          <w:rFonts w:ascii="Times New Roman" w:hAnsi="Times New Roman"/>
          <w:sz w:val="20"/>
          <w:u w:val="single"/>
        </w:rPr>
        <w:t>Related Party</w:t>
      </w:r>
      <w:r>
        <w:rPr>
          <w:rFonts w:ascii="Times New Roman" w:hAnsi="Times New Roman"/>
          <w:sz w:val="20"/>
        </w:rPr>
        <w:t>”): (a) is party to any Contract with a member of the Company Group, other than customary employment agreements or other compensation arrangements, including in relation to benefits under any Canada Benefit Plan, entered into in the Ordinary Course of Business and that are on arms’ length terms, (b) provides any service to the Company Group, (c) has or owns, directly or indirectly, any interest in any Company Intellectual Property or other Company Asset used or held for use in connection with the Company Business, (d) possesses, directly or indirectly, any financial interest in, or is a director, officer or manager of, any Person that is a Top Customer or Top Vendor, or (e) has or owns, directly or indirectly, any interest in any Contract between the Company and a Top Customer or Top Vendor (each, a “</w:t>
      </w:r>
      <w:r>
        <w:rPr>
          <w:rFonts w:ascii="Times New Roman" w:hAnsi="Times New Roman"/>
          <w:sz w:val="20"/>
          <w:u w:val="single"/>
        </w:rPr>
        <w:t>Related Party Arrangement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4.20. </w:t>
      </w:r>
      <w:r>
        <w:rPr>
          <w:rFonts w:ascii="Times New Roman" w:hAnsi="Times New Roman"/>
          <w:sz w:val="20"/>
          <w:u w:val="single"/>
        </w:rPr>
        <w:t>Brokers</w:t>
      </w:r>
      <w:r>
        <w:rPr>
          <w:rFonts w:ascii="Times New Roman" w:hAnsi="Times New Roman"/>
          <w:sz w:val="20"/>
        </w:rPr>
        <w:t xml:space="preserve">. No broker, investment banker, financial advisor or other Person is entitled to any broker’s, finder’s, financial advisor’s or other similar fee or commission in connection with the Transactions based upon arrangements made by or on behalf of any member of the Company Group for which Parent shall be responsible following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4.21. </w:t>
      </w:r>
      <w:r>
        <w:rPr>
          <w:rFonts w:ascii="Times New Roman" w:hAnsi="Times New Roman"/>
          <w:sz w:val="20"/>
          <w:u w:val="single"/>
        </w:rPr>
        <w:t>Title to Assets</w:t>
      </w:r>
      <w:r>
        <w:rPr>
          <w:rFonts w:ascii="Times New Roman" w:hAnsi="Times New Roman"/>
          <w:sz w:val="20"/>
        </w:rPr>
        <w:t xml:space="preserve">. The Company Group has good, marketable and valid title to, or, in the case of property held under a lease or other Contract, an enforceable and valid leasehold interest in, or right to use, all of the tangible properties, rights and Company Assets that are used in and material to the operation of the Company Business. None of the tangible properties, rights and Company Assets that are used in and material to the operation of the Company Business is subject to any Lien (other than a Company Permitted Lien). </w:t>
      </w:r>
    </w:p>
    <w:p>
      <w:pPr>
        <w:pStyle w:val="TextBody"/>
        <w:bidi w:val="0"/>
        <w:spacing w:before="240" w:after="0"/>
        <w:jc w:val="left"/>
        <w:rPr>
          <w:rFonts w:ascii="Times New Roman" w:hAnsi="Times New Roman"/>
          <w:sz w:val="20"/>
        </w:rPr>
      </w:pPr>
      <w:r>
        <w:rPr>
          <w:rFonts w:ascii="Times New Roman" w:hAnsi="Times New Roman"/>
          <w:sz w:val="20"/>
        </w:rPr>
        <w:t xml:space="preserve">Section 4.22. </w:t>
      </w:r>
      <w:r>
        <w:rPr>
          <w:rFonts w:ascii="Times New Roman" w:hAnsi="Times New Roman"/>
          <w:sz w:val="20"/>
          <w:u w:val="single"/>
        </w:rPr>
        <w:t>Sufficiency of Assets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rights, properties and other assets of the Company Group, including without limitation the manufacturing equipment, machinery, tooling, dies and other tangible property of the Company Group, constitute all of the rights, properties and other assets necessary to conduct the Company Business (i) as currently conducted and (ii) as currently contemplated or proposed to be conducted by the Company Group following the Closing, consistent with the Company Group’s existing business plans, budgets, and capital expenditure plans made available to Parent. </w:t>
      </w:r>
    </w:p>
    <w:p>
      <w:pPr>
        <w:pStyle w:val="TextBody"/>
        <w:bidi w:val="0"/>
        <w:spacing w:before="240" w:after="0"/>
        <w:jc w:val="left"/>
        <w:rPr>
          <w:rFonts w:ascii="Times New Roman" w:hAnsi="Times New Roman"/>
          <w:sz w:val="20"/>
        </w:rPr>
      </w:pPr>
      <w:r>
        <w:rPr>
          <w:rFonts w:ascii="Times New Roman" w:hAnsi="Times New Roman"/>
          <w:sz w:val="20"/>
        </w:rPr>
        <w:t xml:space="preserve">(b) Immediately following the Closing, the rights, properties and other assets of the Company Group, together with all other rights of Parent and any of its Affiliates (including the Surviving Company and each Company Subsidiary) pursuant to the Transaction Documents will constitute all of the rights, properties and other assets necessary to conduct the Company Business (i) as currently conducted and (ii) as currently contemplated or proposed to be conducted by the Company Group following the Closing, consistent with the Company Group’s existing business plans, budgets, and capital expenditure plans made available to Parent. </w:t>
      </w:r>
    </w:p>
    <w:p>
      <w:pPr>
        <w:pStyle w:val="TextBody"/>
        <w:bidi w:val="0"/>
        <w:spacing w:before="240" w:after="0"/>
        <w:jc w:val="left"/>
        <w:rPr>
          <w:rFonts w:ascii="Times New Roman" w:hAnsi="Times New Roman"/>
          <w:sz w:val="20"/>
        </w:rPr>
      </w:pPr>
      <w:r>
        <w:rPr>
          <w:rFonts w:ascii="Times New Roman" w:hAnsi="Times New Roman"/>
          <w:sz w:val="20"/>
        </w:rPr>
        <w:t xml:space="preserve">Section 4.23. </w:t>
      </w:r>
      <w:r>
        <w:rPr>
          <w:rFonts w:ascii="Times New Roman" w:hAnsi="Times New Roman"/>
          <w:sz w:val="20"/>
          <w:u w:val="single"/>
        </w:rPr>
        <w:t>Product and Service Warranty and Liability; Safety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would not, individually or in the aggregate, reasonably be expected to be material to the Company or any Company Subsidiary, taken as a whole, since the Lookback Date, (i) there has been no pattern of defects in the design, construction, manufacture, packaging or labeling of any product distributed by a member of the Company Group with respect to the Company Business, (ii) each product sold by a member of the Company Group with respect to the Company Business has been designed, constructed, manufactured, packaged, installed and labeled in compliance with all applicable Laws, and no member of the Company Group has received any notice of any alleged noncompliance with any such applicable Law, and (iii) no member of the Company Group has been required to file, and has not filed, a notification or other report with any Governmental Authority concerning actual or potential hazards with respect to any of the products sold by or services provided by a member of the Company Group with respect to the Company Business.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4.23(b)</w:t>
      </w:r>
      <w:r>
        <w:rPr>
          <w:rFonts w:ascii="Times New Roman" w:hAnsi="Times New Roman"/>
          <w:sz w:val="20"/>
        </w:rPr>
        <w:t xml:space="preserve"> of the Company Disclosure Letter sets forth, since the Lookback Date, (i) an accurate description of any claim made or threatened in writing to any member of the Company Group and that remains unresolved alleging deficiencies in the quality of products or services provided by a member of the Company Group with respect to the Company Business, in respect of which an amount with respect to such claim, individually or in the aggregate, exceeds $250,000 and would reasonably be expected to be payable to any customer of the Company Business to resolve such claim and (ii) an accurate list of any credits for alleged deficiencies in the quality of services provided by a member of the Company Group with respect to the Company Business, on an individual basis, issued by such member of the Company Group to any customer of the Company Business since the Lookback Date in excess of $250,000 (excluding any administrative or billing credits).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Since the Lookback Date, there have been no product recalls, withdrawals or seizures with respect to any products manufactured, sold or delivered by the Company Group in the conduct of the Company Business. </w:t>
      </w:r>
    </w:p>
    <w:p>
      <w:pPr>
        <w:pStyle w:val="TextBody"/>
        <w:bidi w:val="0"/>
        <w:spacing w:before="240" w:after="0"/>
        <w:jc w:val="left"/>
        <w:rPr>
          <w:rFonts w:ascii="Times New Roman" w:hAnsi="Times New Roman"/>
          <w:sz w:val="20"/>
        </w:rPr>
      </w:pPr>
      <w:r>
        <w:rPr>
          <w:rFonts w:ascii="Times New Roman" w:hAnsi="Times New Roman"/>
          <w:sz w:val="20"/>
        </w:rPr>
        <w:t xml:space="preserve">Section 4.24. </w:t>
      </w:r>
      <w:r>
        <w:rPr>
          <w:rFonts w:ascii="Times New Roman" w:hAnsi="Times New Roman"/>
          <w:sz w:val="20"/>
          <w:u w:val="single"/>
        </w:rPr>
        <w:t>Insurance</w:t>
      </w:r>
      <w:r>
        <w:rPr>
          <w:rFonts w:ascii="Times New Roman" w:hAnsi="Times New Roman"/>
          <w:sz w:val="20"/>
        </w:rPr>
        <w:t xml:space="preserve">. </w:t>
      </w:r>
      <w:r>
        <w:rPr>
          <w:rFonts w:ascii="Times New Roman" w:hAnsi="Times New Roman"/>
          <w:sz w:val="20"/>
          <w:u w:val="single"/>
        </w:rPr>
        <w:t>Section 4.24</w:t>
      </w:r>
      <w:r>
        <w:rPr>
          <w:rFonts w:ascii="Times New Roman" w:hAnsi="Times New Roman"/>
          <w:sz w:val="20"/>
        </w:rPr>
        <w:t xml:space="preserve"> of the Company Disclosure Letter sets forth a true, correct and complete list of the material insurance policies that are maintained, owned or held by or for the benefit of the Company Group (the “</w:t>
      </w:r>
      <w:r>
        <w:rPr>
          <w:rFonts w:ascii="Times New Roman" w:hAnsi="Times New Roman"/>
          <w:sz w:val="20"/>
          <w:u w:val="single"/>
        </w:rPr>
        <w:t>Insurance Policies</w:t>
      </w:r>
      <w:r>
        <w:rPr>
          <w:rFonts w:ascii="Times New Roman" w:hAnsi="Times New Roman"/>
          <w:sz w:val="20"/>
        </w:rPr>
        <w:t xml:space="preserve">”), other than policies under any Canada Benefit Plans, including for each such Insurance Policy, the type of policy, form of coverage, the policy number, the name of the insurer and the effective, renewal and expiration dates. The Company Group has made available to Parent true, correct and complete copies of each such Insurance Policy. All Insurance Policies are in full force and effect, and no member of the Company Group has received any notice of cancellation, termination or non-renewal of (actual or threatened), premium increase with respect to, or alteration of coverage under, any of such Insurance Policies. All claims covered by the Insurance Policies have been properly and timely reported to and accepted, and no member of the Company Group has received notice that any such claim for coverage has been denied. All premiums under the Insurance Policies covering all periods up to and including the Closing Date have been, or will have been, paid in full. The Insurance Policies are comprised of the types and in the amounts required to be maintained under applicable Law and any Company Material Contract. </w:t>
      </w:r>
    </w:p>
    <w:p>
      <w:pPr>
        <w:pStyle w:val="TextBody"/>
        <w:bidi w:val="0"/>
        <w:spacing w:before="240" w:after="0"/>
        <w:jc w:val="left"/>
        <w:rPr>
          <w:rFonts w:ascii="Times New Roman" w:hAnsi="Times New Roman"/>
          <w:sz w:val="20"/>
        </w:rPr>
      </w:pPr>
      <w:r>
        <w:rPr>
          <w:rFonts w:ascii="Times New Roman" w:hAnsi="Times New Roman"/>
          <w:sz w:val="20"/>
        </w:rPr>
        <w:t xml:space="preserve">Section 4.25. </w:t>
      </w:r>
      <w:r>
        <w:rPr>
          <w:rFonts w:ascii="Times New Roman" w:hAnsi="Times New Roman"/>
          <w:sz w:val="20"/>
          <w:u w:val="single"/>
        </w:rPr>
        <w:t>Top Customers and Top Vendors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4.25(a)</w:t>
      </w:r>
      <w:r>
        <w:rPr>
          <w:rFonts w:ascii="Times New Roman" w:hAnsi="Times New Roman"/>
          <w:sz w:val="20"/>
        </w:rPr>
        <w:t xml:space="preserve"> of the Company Disclosure Letter sets forth the ten (10) largest customers of the Company Group (determined by dollar value of revenue) during the twelve (12) month period ended on the Balance Sheet Date (each, a “</w:t>
      </w:r>
      <w:r>
        <w:rPr>
          <w:rFonts w:ascii="Times New Roman" w:hAnsi="Times New Roman"/>
          <w:sz w:val="20"/>
          <w:u w:val="single"/>
        </w:rPr>
        <w:t>Top Customer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4.25(b)</w:t>
      </w:r>
      <w:r>
        <w:rPr>
          <w:rFonts w:ascii="Times New Roman" w:hAnsi="Times New Roman"/>
          <w:sz w:val="20"/>
        </w:rPr>
        <w:t xml:space="preserve"> of the Company Disclosure Letter sets forth the ten (10) largest suppliers, vendors, service providers and other similar business relations of the Company Group (determined by dollar volume of expenditures) during the twelve (12) month period ended on the Balance Sheet Date (each, a “</w:t>
      </w:r>
      <w:r>
        <w:rPr>
          <w:rFonts w:ascii="Times New Roman" w:hAnsi="Times New Roman"/>
          <w:sz w:val="20"/>
          <w:u w:val="single"/>
        </w:rPr>
        <w:t>Top Vendor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No Top Customer or Top Vendor has (i) ceased, or has given any notice to a member of the Company Group that it intends to cease, to acquire, or to change in a manner materially adverse to the Company Group the terms or conditions under which it acquires, the services or products of the Company Business, or has substantially reduced or has given any notice to a member of the Company Group that it intends to substantially reduce the frequency or volume of its acquisition of services and products of the Company Business or (ii) given any notice to the Company that it intends to (x) cease doing business with the Company Group or to (y) file for bankruptcy or voluntarily or involuntarily enter into insolvency proceedings under any state, federal or other jurisdictions. No member of the Company Group is, and since the Balance Sheet Date has not been, involved in any Action or other disagreement with any Top Customer or Top Vendor. </w:t>
      </w:r>
    </w:p>
    <w:p>
      <w:pPr>
        <w:pStyle w:val="TextBody"/>
        <w:bidi w:val="0"/>
        <w:spacing w:before="240" w:after="0"/>
        <w:jc w:val="left"/>
        <w:rPr>
          <w:rFonts w:ascii="Times New Roman" w:hAnsi="Times New Roman"/>
          <w:sz w:val="20"/>
        </w:rPr>
      </w:pPr>
      <w:r>
        <w:rPr>
          <w:rFonts w:ascii="Times New Roman" w:hAnsi="Times New Roman"/>
          <w:sz w:val="20"/>
        </w:rPr>
        <w:t xml:space="preserve">Section 4.26. </w:t>
      </w:r>
      <w:r>
        <w:rPr>
          <w:rFonts w:ascii="Times New Roman" w:hAnsi="Times New Roman"/>
          <w:sz w:val="20"/>
          <w:u w:val="single"/>
        </w:rPr>
        <w:t>Accounts Receivable; Accounts Payable</w:t>
      </w:r>
      <w:r>
        <w:rPr>
          <w:rFonts w:ascii="Times New Roman" w:hAnsi="Times New Roman"/>
          <w:sz w:val="20"/>
        </w:rPr>
        <w:t xml:space="preserve">. All accounts and notes receivable of the Company Group arose from bona fide transactions in the Ordinary Course of Business and constitute valid claims of the Company Group in all material respects. Except as set forth on Section 4.26 of the Company Disclosure Letter or as would not, individually or in the aggregate, reasonably be expected to be material to the Company or any Company Subsidiary, taken as a whole, (A) no account debtor has asserted in writing any material claim, defense or right of set-off against, or refused to pay, any such account or note receivable, (B) to the Knowledge of the Company, such accounts and notes receivable are collectible in the Ordinary Course of Business, net of reserves reflected on the Most Recent Balance Sheet, and (C) since the date of the Most Recent Balance Sheet, the Company Group has not accelerated the collection of receivables or delayed the payment of payables, in each case, outside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4.27. </w:t>
      </w:r>
      <w:r>
        <w:rPr>
          <w:rFonts w:ascii="Times New Roman" w:hAnsi="Times New Roman"/>
          <w:sz w:val="20"/>
          <w:u w:val="single"/>
        </w:rPr>
        <w:t>Inventory</w:t>
      </w:r>
      <w:r>
        <w:rPr>
          <w:rFonts w:ascii="Times New Roman" w:hAnsi="Times New Roman"/>
          <w:sz w:val="20"/>
        </w:rPr>
        <w:t xml:space="preserve">. Except as reflected or reserved against on the Financials in accordance with GAAP or as would not be material to the Company Business, taken as a whole: (a) all of the Inventory consists of supplies, raw materials, work in progress and finished goods, all of which are merchantable and fit for the purpose for which they were procured or manufactured and conform in all material respects with all applicable specifications and warranties, (b) all of the Inventory is useable or saleable in the Ordinary Course of Business, (c) none of the Inventory is slow-moving, obsolete, damaged or defective, (d) the quantities of each item of Inventory are not excessive and (e) none of the Inventory is held on consignment, or otherwise, by third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4.28. </w:t>
      </w:r>
      <w:r>
        <w:rPr>
          <w:rFonts w:ascii="Times New Roman" w:hAnsi="Times New Roman"/>
          <w:sz w:val="20"/>
          <w:u w:val="single"/>
        </w:rPr>
        <w:t>Bank Accounts</w:t>
      </w:r>
      <w:r>
        <w:rPr>
          <w:rFonts w:ascii="Times New Roman" w:hAnsi="Times New Roman"/>
          <w:sz w:val="20"/>
        </w:rPr>
        <w:t xml:space="preserve">. Set forth on </w:t>
      </w:r>
      <w:r>
        <w:rPr>
          <w:rFonts w:ascii="Times New Roman" w:hAnsi="Times New Roman"/>
          <w:sz w:val="20"/>
          <w:u w:val="single"/>
        </w:rPr>
        <w:t>Section 4.28</w:t>
      </w:r>
      <w:r>
        <w:rPr>
          <w:rFonts w:ascii="Times New Roman" w:hAnsi="Times New Roman"/>
          <w:sz w:val="20"/>
        </w:rPr>
        <w:t xml:space="preserve"> of the Company Disclosure Letter is an accurate and complete list showing (a) the name and address of each bank or other institution in which any member of the Company Group has an account (whether a deposit, checking, savings, brokerage, or investment account or otherwise) or lock or safe deposit box (each, an “</w:t>
      </w:r>
      <w:r>
        <w:rPr>
          <w:rFonts w:ascii="Times New Roman" w:hAnsi="Times New Roman"/>
          <w:sz w:val="20"/>
          <w:u w:val="single"/>
        </w:rPr>
        <w:t>Account</w:t>
      </w:r>
      <w:r>
        <w:rPr>
          <w:rFonts w:ascii="Times New Roman" w:hAnsi="Times New Roman"/>
          <w:sz w:val="20"/>
        </w:rPr>
        <w:t xml:space="preserve">”), the number of any such Account, the names of all persons authorized to draw thereon or to have access thereto, and (b) the names of all Persons, if any, holding powers of attorney from any member of the Company Group and a summary statement of the terms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4.29. </w:t>
      </w:r>
      <w:r>
        <w:rPr>
          <w:rFonts w:ascii="Times New Roman" w:hAnsi="Times New Roman"/>
          <w:sz w:val="20"/>
          <w:u w:val="single"/>
        </w:rPr>
        <w:t>Capital Expenditures</w:t>
      </w:r>
      <w:r>
        <w:rPr>
          <w:rFonts w:ascii="Times New Roman" w:hAnsi="Times New Roman"/>
          <w:sz w:val="20"/>
        </w:rPr>
        <w:t xml:space="preserve">. Except as set forth on </w:t>
      </w:r>
      <w:r>
        <w:rPr>
          <w:rFonts w:ascii="Times New Roman" w:hAnsi="Times New Roman"/>
          <w:sz w:val="20"/>
          <w:u w:val="single"/>
        </w:rPr>
        <w:t>Section 4.29</w:t>
      </w:r>
      <w:r>
        <w:rPr>
          <w:rFonts w:ascii="Times New Roman" w:hAnsi="Times New Roman"/>
          <w:sz w:val="20"/>
        </w:rPr>
        <w:t xml:space="preserve"> of the Company Disclosure Letter, there are no Contracts or other arrangements that obligate any member of the Company Group to make any capital expenditure or capital commitment (or series of capital expenditures or capital commitments) in an amount that, individually or in the aggregate, is in excess of $3,000,000.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SELLER </w:t>
      </w:r>
    </w:p>
    <w:p>
      <w:pPr>
        <w:pStyle w:val="TextBody"/>
        <w:bidi w:val="0"/>
        <w:spacing w:before="240" w:after="0"/>
        <w:jc w:val="left"/>
        <w:rPr>
          <w:rFonts w:ascii="Times New Roman" w:hAnsi="Times New Roman"/>
          <w:sz w:val="20"/>
        </w:rPr>
      </w:pPr>
      <w:r>
        <w:rPr>
          <w:rFonts w:ascii="Times New Roman" w:hAnsi="Times New Roman"/>
          <w:sz w:val="20"/>
        </w:rPr>
        <w:t xml:space="preserve">Seller hereby represents and warrants to Parent, as of the date hereof,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Organization; Standing and Power</w:t>
      </w:r>
      <w:r>
        <w:rPr>
          <w:rFonts w:ascii="Times New Roman" w:hAnsi="Times New Roman"/>
          <w:sz w:val="20"/>
        </w:rPr>
        <w:t xml:space="preserve">. Seller is duly organized, validly existing and in good standing under the applicable Law of its jurisdiction of organization. Seller has all requisite corporate or limited liability company power, as applicable, and authority necessary to enable it to own, lease or otherwise hold its properties and assets and to conduct its business and operations as currently conducted and as currently proposed to be conducted. Seller has made available to Parent true and complete copies of the Organizational Documents of Seller as amended through, and in full force and effect as of, the date of this Agreement, and Seller is not in violation of any provision of its Organizational Documents, other than such violations that, individually or in the aggregate, would not reasonably be expected to be material to Seller.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Authority; Execution and Delivery; Enforceability</w:t>
      </w:r>
      <w:r>
        <w:rPr>
          <w:rFonts w:ascii="Times New Roman" w:hAnsi="Times New Roman"/>
          <w:sz w:val="20"/>
        </w:rPr>
        <w:t xml:space="preserve">. Seller has all requisite power and authority to execute and deliver each Transaction Document to which it is or is contemplated to be a party, to perform its obligations thereunder and to consummate the Transactions. The execution and delivery by Seller of each Transaction Document to which it is or is contemplated to be a party and the consummation by Seller of the Transactions have been duly authorized by the Boards of Directors or other governing body of Seller and no other corporate proceedings on the part of Seller are necessary to authorize the Transaction Documents to which it is or is contemplated to be a party or the consummation of the Transactions. Seller has duly executed and delivered this Agreement, and, assuming due authorization, execution and delivery by the other Parties, this Agreement constitutes its legal, valid and binding obligation, enforceable against Seller in accordance with its terms (except insofar as such enforceability may be limited by applicable bankruptcy, insolvency, reorganization, moratorium or similar Laws affecting creditors’ rights generally or by principles governing the availability of equitable remedies). Upon the execution and delivery by Seller of each other Transaction Document to which it is or is contemplated to be a party and, assuming due authorization, execution and delivery by the other Parties thereto, each other Transaction Document to which it is or is contemplated to be a party will constitute its legal, valid and binding obligation, enforceable against it in accordance with its terms (except insofar as such enforceability may be limited by applicable bankruptcy, insolvency, reorganization, moratorium or similar Laws affecting creditors’ rights generally, or by principles governing the availability of equitable remedies).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No Conflicts; Governmental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execution and delivery by Seller of each Transaction Document to which it is a party does not, the execution and delivery by Seller of each Transaction Document to which it is contemplated to be a party will not, and the consummation by Seller of the Transactions and compliance with the terms hereof and thereof will not, conflict with, or result in any violation of or default (or an event that, with or without notice or lapse of time or both, would become a default) under, or give rise to a right of termination, cancelation or acceleration of any obligation or to loss of a material benefit under, or to increased, additional, accelerated or guaranteed rights or entitlements of any Person under, or result in the creation of any Lien upon any of the properties or assets of Seller under any provision of (i) the Organizational Documents of Seller, or (ii) subject to the filings, Consents and other matters referred to in </w:t>
      </w:r>
      <w:r>
        <w:rPr>
          <w:rFonts w:ascii="Times New Roman" w:hAnsi="Times New Roman"/>
          <w:sz w:val="20"/>
          <w:u w:val="single"/>
        </w:rPr>
        <w:t>Section 5.03(b)</w:t>
      </w:r>
      <w:r>
        <w:rPr>
          <w:rFonts w:ascii="Times New Roman" w:hAnsi="Times New Roman"/>
          <w:sz w:val="20"/>
        </w:rPr>
        <w:t xml:space="preserve">, any Governmental Order or Law applicable to Seller or its properties or assets, other than, in the case of </w:t>
      </w:r>
      <w:r>
        <w:rPr>
          <w:rFonts w:ascii="Times New Roman" w:hAnsi="Times New Roman"/>
          <w:sz w:val="20"/>
          <w:u w:val="single"/>
        </w:rPr>
        <w:t>clause (ii)</w:t>
      </w:r>
      <w:r>
        <w:rPr>
          <w:rFonts w:ascii="Times New Roman" w:hAnsi="Times New Roman"/>
          <w:sz w:val="20"/>
        </w:rPr>
        <w:t xml:space="preserve"> above, any such item that, individually or in the aggregate, would not reasonably be expected to materially delay or materially impair the ability of Seller to consummate the Merger. </w:t>
      </w:r>
    </w:p>
    <w:p>
      <w:pPr>
        <w:pStyle w:val="TextBody"/>
        <w:bidi w:val="0"/>
        <w:spacing w:before="240" w:after="0"/>
        <w:jc w:val="left"/>
        <w:rPr>
          <w:rFonts w:ascii="Times New Roman" w:hAnsi="Times New Roman"/>
          <w:sz w:val="20"/>
        </w:rPr>
      </w:pPr>
      <w:r>
        <w:rPr>
          <w:rFonts w:ascii="Times New Roman" w:hAnsi="Times New Roman"/>
          <w:sz w:val="20"/>
        </w:rPr>
        <w:t xml:space="preserve">(b) No action by (including any notification to, authorization by, Consent or approval of, or receipt of any Governmental Approval or Permit of), or in respect of, or filing with, any Governmental Authority is required by or on behalf of Seller or in respect of Seller, or in connection with, (i) the valid and lawful authorization, execution, delivery and performance by Seller of this Agreement or any Transaction Document to which it is (or with respect to Transaction Documents to be entered into at the Closing, will be) a party or (ii) the consummation of the Transactions, except for (x) filings under the HSR Act and (y) such actions or filings that the failure to take or make, as the case may be, would not, individually or in the aggregate, be material to Seller. </w:t>
      </w:r>
    </w:p>
    <w:p>
      <w:pPr>
        <w:pStyle w:val="TextBody"/>
        <w:bidi w:val="0"/>
        <w:spacing w:before="240" w:after="0"/>
        <w:jc w:val="left"/>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Litigation</w:t>
      </w:r>
      <w:r>
        <w:rPr>
          <w:rFonts w:ascii="Times New Roman" w:hAnsi="Times New Roman"/>
          <w:sz w:val="20"/>
        </w:rPr>
        <w:t xml:space="preserve">. There is no Action pending or threatened against Seller that would, if decided adversely to Seller, prevent or materially delay the ability of Seller to consummate the Transactions. Seller is not subject to any outstanding Governmental Order that specifically names Seller and that would prevent or materially delay the ability of Seller to consummate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5.05. </w:t>
      </w:r>
      <w:r>
        <w:rPr>
          <w:rFonts w:ascii="Times New Roman" w:hAnsi="Times New Roman"/>
          <w:sz w:val="20"/>
          <w:u w:val="single"/>
        </w:rPr>
        <w:t>Title</w:t>
      </w:r>
      <w:r>
        <w:rPr>
          <w:rFonts w:ascii="Times New Roman" w:hAnsi="Times New Roman"/>
          <w:sz w:val="20"/>
        </w:rPr>
        <w:t xml:space="preserve">. Seller legally and beneficially owns all of the Company Units. Other than the Company Units, there are no other Equity Interests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5.06. </w:t>
      </w:r>
      <w:r>
        <w:rPr>
          <w:rFonts w:ascii="Times New Roman" w:hAnsi="Times New Roman"/>
          <w:sz w:val="20"/>
          <w:u w:val="single"/>
        </w:rPr>
        <w:t>Brokers</w:t>
      </w:r>
      <w:r>
        <w:rPr>
          <w:rFonts w:ascii="Times New Roman" w:hAnsi="Times New Roman"/>
          <w:sz w:val="20"/>
        </w:rPr>
        <w:t xml:space="preserve">. No broker, investment banker, financial advisor or other Person is entitled to any broker’s, finder’s, financial advisor’s or other similar fee or commission in connection with the Transactions based upon arrangements made by or on behalf of Seller for which Parent or the Company will be responsible following the Closing.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ADDITIONAL AGREEMENTS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Books and Records</w:t>
      </w:r>
      <w:r>
        <w:rPr>
          <w:rFonts w:ascii="Times New Roman" w:hAnsi="Times New Roman"/>
          <w:sz w:val="20"/>
        </w:rPr>
        <w:t xml:space="preserve">. For a period of five (5) years after the Closing Date, Parent shall use commercially reasonable efforts to preserve and retain, or to cause the Company Group to preserve and retain and maintain, in an accessible form, all material corporate, accounting, legal and tax books and records of the Company Group relating to the conduct of the business and operations of the Company Group prior to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Tail Policy</w:t>
      </w:r>
      <w:r>
        <w:rPr>
          <w:rFonts w:ascii="Times New Roman" w:hAnsi="Times New Roman"/>
          <w:sz w:val="20"/>
        </w:rPr>
        <w:t>. Seller shall, at its sole expense, obtain, at or prior to the Closing, a fully paid “tail” insurance policy with respect to directors’ and officers’ liability insurance policies and fiduciary liability insurance policies, with a claims period of six (6) years following the Closing, from insurance carriers with the same or better claims-paying ability ratings as the Company’s current insurance carriers with respect to directors’ and officers’ liability insurance policies and fiduciary liability insurance policies (collectively, “</w:t>
      </w:r>
      <w:r>
        <w:rPr>
          <w:rFonts w:ascii="Times New Roman" w:hAnsi="Times New Roman"/>
          <w:sz w:val="20"/>
          <w:u w:val="single"/>
        </w:rPr>
        <w:t>D&amp;O Insurance</w:t>
      </w:r>
      <w:r>
        <w:rPr>
          <w:rFonts w:ascii="Times New Roman" w:hAnsi="Times New Roman"/>
          <w:sz w:val="20"/>
        </w:rPr>
        <w:t xml:space="preserve">”), for the persons who are covered by the Company’s and the Company Subsidiaries’ existing directors’ and officers’ liability insurance policies and fiduciary liability insurance policies with terms, conditions, retentions and levels of coverage substantially equivalent to, and in any event no less favorable as, the Company and the Company Subsidiaries’ existing directors’ and officers’ liability insurance policies and fiduciary liability insurance policies with respect to matters existing or occurring at or prior to Closing. The cost of all premiums relating to and other fees and expenses incurred in connection with the D&amp;O Insurance shall be borne by Seller.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Fees and Expenses</w:t>
      </w:r>
      <w:r>
        <w:rPr>
          <w:rFonts w:ascii="Times New Roman" w:hAnsi="Times New Roman"/>
          <w:sz w:val="20"/>
        </w:rPr>
        <w:t xml:space="preserve">. All fees and expenses incurred in connection with this Agreement and the Transactions shall be paid by the Party incurring such expenses, whether or not the Merger is consummated, except as otherwise expressly provided herein. For the avoidance of doubt, Parent shall bear and be responsible for paying (a) 50% of all premiums, underwriting fees, broker fees, commissions or taxes with respect to the R&amp;W Insurance Policy (including any retention amounts), (b) all fees and expenses otherwise owed by Parent or their respective Affiliates (in each case, whether or not to be paid by the Company after Closing) to any of their financial advisors, attorneys, accountants, advisors, consultants or other Representatives, and (c) any other fees or expenses initiated or incurred at request of Parent or their Representatives or otherwise allocated to Parent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Public Announcements</w:t>
      </w:r>
      <w:r>
        <w:rPr>
          <w:rFonts w:ascii="Times New Roman" w:hAnsi="Times New Roman"/>
          <w:sz w:val="20"/>
        </w:rPr>
        <w:t xml:space="preserve">. The Company and Seller, on the one hand, and Parent and Merger Sub, on the other hand, shall consult with each other and shall mutually agree upon any press release or other public statements with respect to the Transactions, and shall not issue any such press release or make any such public statement prior to such consultation and agreement, other than any press release or other public statement that only contains information and statements that have been previously approved by the Parties pursuant to this </w:t>
      </w:r>
      <w:r>
        <w:rPr>
          <w:rFonts w:ascii="Times New Roman" w:hAnsi="Times New Roman"/>
          <w:sz w:val="20"/>
          <w:u w:val="single"/>
        </w:rPr>
        <w:t>Section 6.04</w:t>
      </w:r>
      <w:r>
        <w:rPr>
          <w:rFonts w:ascii="Times New Roman" w:hAnsi="Times New Roman"/>
          <w:sz w:val="20"/>
        </w:rPr>
        <w:t xml:space="preserve">, except as may be required by applicable Law, applicable SEC rules or regulations, court process or by obligations pursuant to any listing agreement with any U.S. national securities exchange; provided, that, in the case of any such legally required disclosure, the disclosing Party shall, to the extent practicable, use commercially reasonable efforts to provide the other Parties with reasonable prior notice of, and a reasonable time to review and comment on, such disclosure, and shall consider in good faith any comments received from the other Parties. Notwithstanding anything to the contrary in this </w:t>
      </w:r>
      <w:r>
        <w:rPr>
          <w:rFonts w:ascii="Times New Roman" w:hAnsi="Times New Roman"/>
          <w:sz w:val="20"/>
          <w:u w:val="single"/>
        </w:rPr>
        <w:t>Section 6.04</w:t>
      </w:r>
      <w:r>
        <w:rPr>
          <w:rFonts w:ascii="Times New Roman" w:hAnsi="Times New Roman"/>
          <w:sz w:val="20"/>
        </w:rPr>
        <w:t xml:space="preserve">, (a) the Parties agree that the initial press release to be issued with respect to the Transactions following execution of this Agreement shall be issued by Parent, which press release shall be mutually reasonably acceptable to Parent and Seller (the consent of Seller shall not be unreasonably withheld, conditioned or delayed), and (b) Parent shall not file with, or furnish to, the SEC or any securities exchange the Company Disclosure Letter without Seller’s prior written consent (not to be unreasonably withheld, conditioned or delayed); </w:t>
      </w:r>
      <w:r>
        <w:rPr>
          <w:rFonts w:ascii="Times New Roman" w:hAnsi="Times New Roman"/>
          <w:sz w:val="20"/>
          <w:u w:val="single"/>
        </w:rPr>
        <w:t>provided</w:t>
      </w:r>
      <w:r>
        <w:rPr>
          <w:rFonts w:ascii="Times New Roman" w:hAnsi="Times New Roman"/>
          <w:sz w:val="20"/>
        </w:rPr>
        <w:t xml:space="preserve">, that Parent may make any such filing or furnishing to the extent required by applicable Law, applicable SEC rules or regulations, the rules of any U.S. national securities exchange, or any comment or request of the staff of the SEC or such exchange, in which case Parent shall (i) to the extent practicable, provide Seller with reasonable prior notice thereof and a reasonable time to comment, (ii) upon Seller’s reasonable request, seek confidential treatment of any portions thereof, including omitting or redacting the information contained therein to the maximum extent permitted under Item 601 of Regulation S-K or otherwise available under applicable SEC rules, and (iii) reasonably cooperate with Seller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For any applicable purposes in this Agreement (including for purposes of Schedule 8.02 and for calculating the Pre-Closing Income Tax Accrual Amount and the amount of Taxes included in Net Working Capital) that would be apportioned to a Straddle Period, the portion of any Taxes that are allocable to the portion of the Straddle Period ending on and including the Closing Date shall be (i) in the case of any real or personal property Taxes and any similar ad valorem Taxes, deemed to be the amount of such Tax for the entire Straddle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Period multiplied by a fraction, the numerator of which is the number of days in the Straddle Period ending on and including the Closing Date and the denominator of which is the number of days in the entire Straddle Period and (ii) in the case of any Tax based upon or related to income, receipts, payments, proceeds, profits, payroll or similar items, deemed equal to the amount which would be payable if the relevant taxable period ended on and included the Closing Date based on an interim closing of the books as of the end of the day on the Closing Date (and for such purpose, the taxable period of any partnership or other pass-through entity or controlled foreign corporation (as defined in Section 957 of the Code) in which the Company holds a beneficial interest (whether directly or indirectly) shall be deemed to terminate at such time). </w:t>
      </w:r>
    </w:p>
    <w:p>
      <w:pPr>
        <w:pStyle w:val="TextBody"/>
        <w:bidi w:val="0"/>
        <w:spacing w:before="240" w:after="0"/>
        <w:jc w:val="left"/>
        <w:rPr>
          <w:rFonts w:ascii="Times New Roman" w:hAnsi="Times New Roman"/>
          <w:sz w:val="20"/>
        </w:rPr>
      </w:pPr>
      <w:r>
        <w:rPr>
          <w:rFonts w:ascii="Times New Roman" w:hAnsi="Times New Roman"/>
          <w:sz w:val="20"/>
        </w:rPr>
        <w:t xml:space="preserve">(b) Each Party shall provide the other Parties with such cooperation and information (including making employees available on a mutually convenient basis) to provide additional information and explanation of any material provided under this </w:t>
      </w:r>
      <w:r>
        <w:rPr>
          <w:rFonts w:ascii="Times New Roman" w:hAnsi="Times New Roman"/>
          <w:sz w:val="20"/>
          <w:u w:val="single"/>
        </w:rPr>
        <w:t>Section 6.05</w:t>
      </w:r>
      <w:r>
        <w:rPr>
          <w:rFonts w:ascii="Times New Roman" w:hAnsi="Times New Roman"/>
          <w:sz w:val="20"/>
        </w:rPr>
        <w:t xml:space="preserve"> as either of them reasonably may request in filing any such Tax Return or in connection with any examination, audit or other Action in respect of Taxes of the Company Group. </w:t>
      </w:r>
    </w:p>
    <w:p>
      <w:pPr>
        <w:pStyle w:val="TextBody"/>
        <w:bidi w:val="0"/>
        <w:spacing w:before="240" w:after="0"/>
        <w:jc w:val="left"/>
        <w:rPr>
          <w:rFonts w:ascii="Times New Roman" w:hAnsi="Times New Roman"/>
          <w:sz w:val="20"/>
        </w:rPr>
      </w:pPr>
      <w:r>
        <w:rPr>
          <w:rFonts w:ascii="Times New Roman" w:hAnsi="Times New Roman"/>
          <w:sz w:val="20"/>
        </w:rPr>
        <w:t>(c) All sales, use, value-added, gross receipts, excise, registration, stamp duty, transfer or other similar Taxes or governmental fees (“</w:t>
      </w:r>
      <w:r>
        <w:rPr>
          <w:rFonts w:ascii="Times New Roman" w:hAnsi="Times New Roman"/>
          <w:sz w:val="20"/>
          <w:u w:val="single"/>
        </w:rPr>
        <w:t>Transfer Taxes</w:t>
      </w:r>
      <w:r>
        <w:rPr>
          <w:rFonts w:ascii="Times New Roman" w:hAnsi="Times New Roman"/>
          <w:sz w:val="20"/>
        </w:rPr>
        <w:t xml:space="preserve">”) imposed or levied by reason of, in connection with or attributable to this Agreement and the transactions contemplated hereby shall be borne 50% by Seller and 50% by Parent. The Party required by Law to file a Tax Return with respect to such Transfer Taxes shall do so within the time period prescribed by Law, and the other Parties shall cooperate in filing such forms and documents as may be necessary in connection with the payment of any such Transfer Taxes, and to obtain any exemption or refund of any such Transfer Taxes. </w:t>
      </w:r>
    </w:p>
    <w:p>
      <w:pPr>
        <w:pStyle w:val="TextBody"/>
        <w:bidi w:val="0"/>
        <w:spacing w:before="240" w:after="0"/>
        <w:jc w:val="left"/>
        <w:rPr>
          <w:rFonts w:ascii="Times New Roman" w:hAnsi="Times New Roman"/>
          <w:sz w:val="20"/>
        </w:rPr>
      </w:pPr>
      <w:r>
        <w:rPr>
          <w:rFonts w:ascii="Times New Roman" w:hAnsi="Times New Roman"/>
          <w:sz w:val="20"/>
        </w:rPr>
        <w:t xml:space="preserve">(d) Seller shall cause all Tax sharing, Tax allocation, Tax indemnity or other similar agreements among any member of the Company Group and Seller (or any of its Affiliates) to be terminated prior to the Closing Date, such that no member of the Company Group shall be bound thereby or have any Liability thereunder whatsoever, including any Liability for Taxes of Seller or any of its Affiliates (other than the Company Group) for any Pre-Closing Tax Period, and Seller shall cause any and all amounts owed by any member of the Company Group to Seller or any of its Affiliates under any such agreement to be settled in full prior to Closing. </w:t>
      </w:r>
    </w:p>
    <w:p>
      <w:pPr>
        <w:pStyle w:val="TextBody"/>
        <w:bidi w:val="0"/>
        <w:spacing w:before="240" w:after="0"/>
        <w:jc w:val="left"/>
        <w:rPr>
          <w:rFonts w:ascii="Times New Roman" w:hAnsi="Times New Roman"/>
          <w:sz w:val="20"/>
        </w:rPr>
      </w:pPr>
      <w:r>
        <w:rPr>
          <w:rFonts w:ascii="Times New Roman" w:hAnsi="Times New Roman"/>
          <w:sz w:val="20"/>
        </w:rPr>
        <w:t>(e) The Mergers are intended to qualify as a “reorganization” within the meaning of Section 368(a) of the Code (the “</w:t>
      </w:r>
      <w:r>
        <w:rPr>
          <w:rFonts w:ascii="Times New Roman" w:hAnsi="Times New Roman"/>
          <w:sz w:val="20"/>
          <w:u w:val="single"/>
        </w:rPr>
        <w:t>Intended Tax Treatment</w:t>
      </w:r>
      <w:r>
        <w:rPr>
          <w:rFonts w:ascii="Times New Roman" w:hAnsi="Times New Roman"/>
          <w:sz w:val="20"/>
        </w:rPr>
        <w:t xml:space="preserve">”), and this Agreement is intended to constitute, and the Parties hereto adopt this Agreement as, a “plan of reorganization” within the meaning of Treasury Regulations Sections 1.368-2(g) and 1.368-3(a). Subject to applicable Law, no Party hereto shall take any action or position before a Governmental Authority which is inconsistent with the Intended Tax Treatment unless otherwise required pursuant to a “determination” within the meaning of Section 1313(a) of the Code. Further, each Party hereto shall cause all Tax Returns relating to the Merger to be filed consistent with the Intended Tax Treatment, unless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(f) If, at any time after the Closing, any of the Parties determines, or becomes aware that an “advisor” (as this term is defined for purposes of sections 237.3 and 237.4 of the ITA) has determined that a transaction contemplated by this Agreement is or should be disclosed to any Governmental Authority whatsoever in accordance with sections 237.3 and 237.4 of the ITA (or any analogous provision of any similar Law) (the “Disclosure Requirements”), the relevant Party shall notify the other Parties of its intent, or its advisor’s intent, to comply with the Disclosure Requirements and the Parties shall cooperate in good faith in preparing and filing any such disclosure on a timely basis and in accordance with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6.06. </w:t>
      </w:r>
      <w:r>
        <w:rPr>
          <w:rFonts w:ascii="Times New Roman" w:hAnsi="Times New Roman"/>
          <w:sz w:val="20"/>
          <w:u w:val="single"/>
        </w:rPr>
        <w:t>R&amp;W Insurance Policy</w:t>
      </w:r>
      <w:r>
        <w:rPr>
          <w:rFonts w:ascii="Times New Roman" w:hAnsi="Times New Roman"/>
          <w:sz w:val="20"/>
        </w:rPr>
        <w:t xml:space="preserve">. Seller hereby acknowledges that Parent or one of its Affiliates has procured a conditionally bound representations and warranties insurance policy in respect of the representations and warranties made by the Company and Seller in </w:t>
      </w:r>
      <w:r>
        <w:rPr>
          <w:rFonts w:ascii="Times New Roman" w:hAnsi="Times New Roman"/>
          <w:sz w:val="20"/>
          <w:u w:val="single"/>
        </w:rPr>
        <w:t>Article IV</w:t>
      </w:r>
      <w:r>
        <w:rPr>
          <w:rFonts w:ascii="Times New Roman" w:hAnsi="Times New Roman"/>
          <w:sz w:val="20"/>
        </w:rPr>
        <w:t xml:space="preserve"> and </w:t>
      </w:r>
      <w:r>
        <w:rPr>
          <w:rFonts w:ascii="Times New Roman" w:hAnsi="Times New Roman"/>
          <w:sz w:val="20"/>
          <w:u w:val="single"/>
        </w:rPr>
        <w:t>Article V</w:t>
      </w:r>
      <w:r>
        <w:rPr>
          <w:rFonts w:ascii="Times New Roman" w:hAnsi="Times New Roman"/>
          <w:sz w:val="20"/>
        </w:rPr>
        <w:t xml:space="preserve"> herein (the “</w:t>
      </w:r>
      <w:r>
        <w:rPr>
          <w:rFonts w:ascii="Times New Roman" w:hAnsi="Times New Roman"/>
          <w:sz w:val="20"/>
          <w:u w:val="single"/>
        </w:rPr>
        <w:t>R&amp;W Insurance Policy</w:t>
      </w:r>
      <w:r>
        <w:rPr>
          <w:rFonts w:ascii="Times New Roman" w:hAnsi="Times New Roman"/>
          <w:sz w:val="20"/>
        </w:rPr>
        <w:t xml:space="preserve">”) and agrees to, upon request, cooperate with Parent, its Affiliates, the Company, and the applicable insurers, carriers, underwriters, and agents in connection with Parent’s pursuit of claims under the R&amp;W Insurance Policy. Parent and Seller each further acknowledges and agrees that the costs, premiums and underwriting fees and other fees, in each case, required to be paid in connection with obtaining and binding such R&amp;W Insurance Policy shall be borne fifty percent (50%) by Parent and fifty percent (50%) by Seller. Parent shall, as soon as reasonably practicable after the Closing Date, deliver to Seller a true and complete copy of the fully executed R&amp;W Insurance Policy. Parent agrees that after the Closing Date, the provisions of the R&amp;W Insurance Policy shall not be modified, amended, or waived in any manner that has an adverse effect on Seller or their Affiliates (including any modification, amendment or waiver with respect to the subrogation provisions or third party beneficiaries provisions) without the prior written consent of Seller and Parent. </w:t>
      </w:r>
    </w:p>
    <w:p>
      <w:pPr>
        <w:pStyle w:val="TextBody"/>
        <w:bidi w:val="0"/>
        <w:spacing w:before="240" w:after="0"/>
        <w:jc w:val="left"/>
        <w:rPr>
          <w:rFonts w:ascii="Times New Roman" w:hAnsi="Times New Roman"/>
          <w:sz w:val="20"/>
        </w:rPr>
      </w:pPr>
      <w:r>
        <w:rPr>
          <w:rFonts w:ascii="Times New Roman" w:hAnsi="Times New Roman"/>
          <w:sz w:val="20"/>
        </w:rPr>
        <w:t xml:space="preserve">Section 6.07. </w:t>
      </w:r>
      <w:r>
        <w:rPr>
          <w:rFonts w:ascii="Times New Roman" w:hAnsi="Times New Roman"/>
          <w:sz w:val="20"/>
          <w:u w:val="single"/>
        </w:rPr>
        <w:t>Restrictive 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Non-Competition</w:t>
      </w:r>
      <w:r>
        <w:rPr>
          <w:rFonts w:ascii="Times New Roman" w:hAnsi="Times New Roman"/>
          <w:sz w:val="20"/>
        </w:rPr>
        <w:t>. During the period commencing on the Effective Time and ending on the fifth (5th) anniversary of the Closing Date (the “</w:t>
      </w:r>
      <w:r>
        <w:rPr>
          <w:rFonts w:ascii="Times New Roman" w:hAnsi="Times New Roman"/>
          <w:sz w:val="20"/>
          <w:u w:val="single"/>
        </w:rPr>
        <w:t>Restricted Period</w:t>
      </w:r>
      <w:r>
        <w:rPr>
          <w:rFonts w:ascii="Times New Roman" w:hAnsi="Times New Roman"/>
          <w:sz w:val="20"/>
        </w:rPr>
        <w:t>”), each of Seller and Seller Parent shall not, and shall cause its Affiliates (for whose breach Seller shall be responsible) not to, in any manner, directly or indirectly, engage in, invest in, own, manage, operate, finance, control, participate in the ownership, management, operation or control of, any Person engaged, or planning or proposing to become engaged, in any Protected Activity anywhere in (i) North America or (ii) in any other country, territory or location in which the Company Group has conducted business or provided products or services since the Lookback Date through the date of this Agreement (the “</w:t>
      </w:r>
      <w:r>
        <w:rPr>
          <w:rFonts w:ascii="Times New Roman" w:hAnsi="Times New Roman"/>
          <w:sz w:val="20"/>
          <w:u w:val="single"/>
        </w:rPr>
        <w:t>Territory</w:t>
      </w:r>
      <w:r>
        <w:rPr>
          <w:rFonts w:ascii="Times New Roman" w:hAnsi="Times New Roman"/>
          <w:sz w:val="20"/>
        </w:rPr>
        <w:t xml:space="preserve">”); provided however, that (A) the restrictions set forth in the foregoing clauses of this sentence shall not apply to any acquisition or purchase by Seller, Seller Parent or any of their respective Affiliates of any publicly-traded equity, so long as such acquisition or purchase does not exceed, in the aggregate of all such equity interest owned by Seller, Seller Parent and their respective Affiliates, 4.99% of the then-current total issued and outstanding publicly-traded equity of any Person, and (B) notwithstanding anything to the contrary in this Agreement, the restrictions set forth in this </w:t>
      </w:r>
      <w:r>
        <w:rPr>
          <w:rFonts w:ascii="Times New Roman" w:hAnsi="Times New Roman"/>
          <w:sz w:val="20"/>
          <w:u w:val="single"/>
        </w:rPr>
        <w:t>Section 6.07(a)</w:t>
      </w:r>
      <w:r>
        <w:rPr>
          <w:rFonts w:ascii="Times New Roman" w:hAnsi="Times New Roman"/>
          <w:sz w:val="20"/>
        </w:rPr>
        <w:t xml:space="preserve"> shall automatically terminate and be of no further force or effect, without any further action by any Person, on the first date on which both of the following conditions have been satisfied: (x) the second (2nd) anniversary of the Closing Date has occurred, and (y) (1) no Investor Director (as defined in the Investor Rights Agreement) is then serving on the board of directors of Parent and (2) Seller and its Affiliates no longer have any right under the Investor Rights Agreement to designate or nominate any individual for election or appointment to the board of directors of Parent, whether as a result of the termination or lapse of such right in accordance with the terms of the Investor Rights Agreement or the irrevocable written waiver or surrender of such right by Seller delivered to Parent (which Seller may deliver at any time in its sole discretion). Without limiting the foregoing, Seller acknowledges that the Surviving Company and the Company Subsidiaries may conduct the Protected Activity throughout the Territory as of immediately prior to the Closing, such that the scope of the Territory is reasonable and necessary to protect the goodwill and legitimate business interests being acquired by Parent hereunder.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Non-Solicitation of Employees</w:t>
      </w:r>
      <w:r>
        <w:rPr>
          <w:rFonts w:ascii="Times New Roman" w:hAnsi="Times New Roman"/>
          <w:sz w:val="20"/>
        </w:rPr>
        <w:t xml:space="preserve">. During the Restricted Period, Seller shall not, and shall cause its Affiliates (for whose breach Seller shall be responsible) not to, directly or indirectly, (i) solicit, induce, or attempt to solicit or induce, any employee, consultant, or independent contractor of the Surviving Company or any Company Subsidiary to terminate or reduce his, her, or its employment or engagement with the Surviving Company or such Company Subsidiary, or (ii) hire, engage, or retain any Person who was an employee, consultant, or independent contractor of the Surviving Company or any Company Subsidiary at any time during the six (6)-month period preceding such hiring, engagement, or retention; </w:t>
      </w:r>
      <w:r>
        <w:rPr>
          <w:rFonts w:ascii="Times New Roman" w:hAnsi="Times New Roman"/>
          <w:sz w:val="20"/>
          <w:u w:val="single"/>
        </w:rPr>
        <w:t>provided</w:t>
      </w:r>
      <w:r>
        <w:rPr>
          <w:rFonts w:ascii="Times New Roman" w:hAnsi="Times New Roman"/>
          <w:sz w:val="20"/>
        </w:rPr>
        <w:t xml:space="preserve">, that this clause (ii) shall not apply to (x) general solicitations of employment not specifically directed at any such Person, including through bona fide public advertisements or search firm engagements not targeted at such Person, or (y) any Person whose employment or engagement was terminated by the Surviving Company or the applicable Company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Independent Covenants; Acknowledgement</w:t>
      </w:r>
      <w:r>
        <w:rPr>
          <w:rFonts w:ascii="Times New Roman" w:hAnsi="Times New Roman"/>
          <w:sz w:val="20"/>
        </w:rPr>
        <w:t xml:space="preserve">. Each of the covenants set forth in this </w:t>
      </w:r>
      <w:r>
        <w:rPr>
          <w:rFonts w:ascii="Times New Roman" w:hAnsi="Times New Roman"/>
          <w:sz w:val="20"/>
          <w:u w:val="single"/>
        </w:rPr>
        <w:t>Section 6.07</w:t>
      </w:r>
      <w:r>
        <w:rPr>
          <w:rFonts w:ascii="Times New Roman" w:hAnsi="Times New Roman"/>
          <w:sz w:val="20"/>
        </w:rPr>
        <w:t xml:space="preserve"> (collectively, the “</w:t>
      </w:r>
      <w:r>
        <w:rPr>
          <w:rFonts w:ascii="Times New Roman" w:hAnsi="Times New Roman"/>
          <w:sz w:val="20"/>
          <w:u w:val="single"/>
        </w:rPr>
        <w:t>Restrictive Covenants</w:t>
      </w:r>
      <w:r>
        <w:rPr>
          <w:rFonts w:ascii="Times New Roman" w:hAnsi="Times New Roman"/>
          <w:sz w:val="20"/>
        </w:rPr>
        <w:t xml:space="preserve">”) is a separate and independent covenant, and the existence of any Action by Seller or any of its Affiliates against Parent, the Surviving Company, or any Company Subsidiary, whether predicated on this Agreement or otherwise, shall not constitute a defense to, and shall not excuse, any breach of, or the enforcement by Parent of, any Restrictive Covenant. Seller has consulted with legal counsel regarding the Restrictive Covenants and, based on such consultation, acknowledges and agrees that (i) the Restrictive Covenants are reasonable in scope, duration, and geographic area, (ii) the Restrictive Covenants are necessary to protect the legitimate business interests and goodwill of the Surviving Company and the Company Subsidiaries and the substantial investment made therein by Parent in connection with the transactions contemplated by this Agreement, (iii) Parent would not have entered into this Agreement or consummated the transactions contemplated hereby without the protections afforded by the Restrictive Covenants, and (iv) the consideration paid to Seller hereunder includes fair and adequate consideration for Seller’s agreement to be bound by the Restrictive Covenants. The Parties intend that the conditions set forth in subsection 56.4(7) of the ITA have been satisfied such that subsection 56.4(5) of the ITA applies to the Restrictive Covenants. For greater certainty, the Parties acknowledge and agree that no portion of the Merger Consideration has been or shall be allocated to, and no proceeds shall be received or receivable by Seller for, the granting of the Restrictive Covenants and the Restrictive Covenants are integral to this Agreement and have been granted to maintain or preserve the fair market value of the Company Units. Seller covenants and agrees that the fact that no portion of the Merger Consideration has been allocable to the granting of the Restrictive Covenant provisions may not, and shall not, be raised or referred to by it in support of any challenge to the enforceability of the Restrictive Covenants granted by Seller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Severability</w:t>
      </w:r>
      <w:r>
        <w:rPr>
          <w:rFonts w:ascii="Times New Roman" w:hAnsi="Times New Roman"/>
          <w:sz w:val="20"/>
        </w:rPr>
        <w:t xml:space="preserve">. If, at the time of enforcement of any Restrictive Covenant, any court or other Governmental Authority holds that the duration, scope, or area restrictions stated herein are unreasonable under the circumstances then existing, the Parties agree that the maximum duration, scope, or area reasonable under such circumstances shall be substituted for the stated duration, scope, or area, and the court is hereby directed and authorized to revise, and to enforce as revised, the restrictions contained herein to the maximum extent, and for the maximum period, scope, and area, permitted by applicable Law. The invalidity or unenforceability of any Restrictive Covenant, or any part thereof, in any jurisdiction shall not affect the validity or enforceability of the remainder of the Restrictive Covenants in such jurisdiction, or the validity or enforceability of any Restrictive Covenant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Tolling</w:t>
      </w:r>
      <w:r>
        <w:rPr>
          <w:rFonts w:ascii="Times New Roman" w:hAnsi="Times New Roman"/>
          <w:sz w:val="20"/>
        </w:rPr>
        <w:t xml:space="preserve">. In the event of a breach by Seller or any of its Affiliates of any Restrictive Covenant, the running of the applicable Restricted Period with respect to such Restrictive Covenant shall be tolled and extended for a period equal to the duration of such breach, so that Parent receives the full benefit of the applicable Restricted Period bargained for hereunder.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Remedies</w:t>
      </w:r>
      <w:r>
        <w:rPr>
          <w:rFonts w:ascii="Times New Roman" w:hAnsi="Times New Roman"/>
          <w:sz w:val="20"/>
        </w:rPr>
        <w:t xml:space="preserve">. Seller acknowledges and agrees that any breach of any Restrictive Covenant would result in irreparable harm to Parent, the Surviving Company, and the Company Subsidiaries for which monetary damages, even if available, would not be an adequate remedy. Accordingly, in the event of any breach or threatened breach of any Restrictive Covenant, Parent shall be entitled, in addition to any other rights and remedies existing in its favor at law or in equity, to seek specific performance and injunctive or other equitable relief (including a temporary restraining order, preliminary injunction, and permanent injunction) to enforce, or prevent any violation of, the provisions of this </w:t>
      </w:r>
      <w:r>
        <w:rPr>
          <w:rFonts w:ascii="Times New Roman" w:hAnsi="Times New Roman"/>
          <w:sz w:val="20"/>
          <w:u w:val="single"/>
        </w:rPr>
        <w:t>Section 6.07</w:t>
      </w:r>
      <w:r>
        <w:rPr>
          <w:rFonts w:ascii="Times New Roman" w:hAnsi="Times New Roman"/>
          <w:sz w:val="20"/>
        </w:rPr>
        <w:t xml:space="preserve">, in each case without the necessity of posting a bond or other security and without the necessity of proving actual damages.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6.08.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6.09.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Canada Regulatory Notifications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Following the Closing, Parent shall cause the Canadian Subsidiary to make, within the time prescribed by applicable Law, at Parent’s sole cost and expense, all notifications, filings and amendments required under the Canadian Firearms Laws, the Canadian Controlled Goods Laws and the Canadian Trade Laws in connection with the change in ownership of the Canadian Subsidiary resulting from the Transactions (the “</w:t>
      </w:r>
      <w:r>
        <w:rPr>
          <w:rFonts w:ascii="Times New Roman" w:hAnsi="Times New Roman"/>
          <w:sz w:val="20"/>
          <w:u w:val="single"/>
        </w:rPr>
        <w:t>Canadian Regulatory Notifications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Prior to the Closing, the Company shall, and shall cause the Canadian Subsidiary to, cooperate with Parent and provide such information as Parent may reasonably request in connection with the Canadian Regulatory Notifications.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Further Assurances</w:t>
      </w:r>
      <w:r>
        <w:rPr>
          <w:rFonts w:ascii="Times New Roman" w:hAnsi="Times New Roman"/>
          <w:sz w:val="20"/>
        </w:rPr>
        <w:t xml:space="preserve">. From time to time following the Closing, the Parties shall, at their own expense, execute, acknowledge and deliver all such further conveyances and other instruments and documents, and do and take all such further actions, as may be reasonably necessary or appropriate to make effective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6.12. </w:t>
      </w:r>
      <w:r>
        <w:rPr>
          <w:rFonts w:ascii="Times New Roman" w:hAnsi="Times New Roman"/>
          <w:sz w:val="20"/>
          <w:u w:val="single"/>
        </w:rPr>
        <w:t>Employee Matters</w:t>
      </w:r>
      <w:r>
        <w:rPr>
          <w:rFonts w:ascii="Times New Roman" w:hAnsi="Times New Roman"/>
          <w:sz w:val="20"/>
        </w:rPr>
        <w:t xml:space="preserve">. From and after the date of this Agreement and continuing for the period set forth therein, Parent shall comply, or cause one of its Subsidiaries (including the Surviving Company) to, comply with the covenants and agreements set forth on </w:t>
      </w:r>
      <w:r>
        <w:rPr>
          <w:rFonts w:ascii="Times New Roman" w:hAnsi="Times New Roman"/>
          <w:sz w:val="20"/>
          <w:u w:val="single"/>
        </w:rPr>
        <w:t>Schedule 6.12</w:t>
      </w:r>
      <w:r>
        <w:rPr>
          <w:rFonts w:ascii="Times New Roman" w:hAnsi="Times New Roman"/>
          <w:sz w:val="20"/>
        </w:rPr>
        <w:t xml:space="preserve">. </w:t>
      </w:r>
      <w:r>
        <w:rPr>
          <w:rFonts w:ascii="Times New Roman" w:hAnsi="Times New Roman"/>
          <w:sz w:val="20"/>
          <w:u w:val="single"/>
        </w:rPr>
        <w:t>Schedule 6.12</w:t>
      </w:r>
      <w:r>
        <w:rPr>
          <w:rFonts w:ascii="Times New Roman" w:hAnsi="Times New Roman"/>
          <w:sz w:val="20"/>
        </w:rPr>
        <w:t xml:space="preserve"> is incorporated into and made a part of this Agreement as if fully set forth in this </w:t>
      </w:r>
      <w:r>
        <w:rPr>
          <w:rFonts w:ascii="Times New Roman" w:hAnsi="Times New Roman"/>
          <w:sz w:val="20"/>
          <w:u w:val="single"/>
        </w:rPr>
        <w:t>Section 6.12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6.13. </w:t>
      </w:r>
      <w:r>
        <w:rPr>
          <w:rFonts w:ascii="Times New Roman" w:hAnsi="Times New Roman"/>
          <w:sz w:val="20"/>
          <w:u w:val="single"/>
        </w:rPr>
        <w:t>Shared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Within thirty (30) days following the Closing, Seller and Parent, or their respective Affiliates (including, following the Closing with respect to Parent, the Company Group) shall, in consultation with each other, use their respective commercially reasonable efforts to separate the Shared Contracts, including, but not limited to, the Shared Contracts listed on </w:t>
      </w:r>
      <w:r>
        <w:rPr>
          <w:rFonts w:ascii="Times New Roman" w:hAnsi="Times New Roman"/>
          <w:sz w:val="20"/>
          <w:u w:val="single"/>
        </w:rPr>
        <w:t>Schedule 6.13</w:t>
      </w:r>
      <w:r>
        <w:rPr>
          <w:rFonts w:ascii="Times New Roman" w:hAnsi="Times New Roman"/>
          <w:sz w:val="20"/>
        </w:rPr>
        <w:t xml:space="preserve"> hereto, into two Contracts with the applicable counterparty, one Contract with terms and conditions that are exclusively related to the Company Business (the “</w:t>
      </w:r>
      <w:r>
        <w:rPr>
          <w:rFonts w:ascii="Times New Roman" w:hAnsi="Times New Roman"/>
          <w:sz w:val="20"/>
          <w:u w:val="single"/>
        </w:rPr>
        <w:t>Transferred Shared Contract</w:t>
      </w:r>
      <w:r>
        <w:rPr>
          <w:rFonts w:ascii="Times New Roman" w:hAnsi="Times New Roman"/>
          <w:sz w:val="20"/>
        </w:rPr>
        <w:t>”) and one Contract that exclusively relates to the other businesses of Seller or its other Affiliates (the “</w:t>
      </w:r>
      <w:r>
        <w:rPr>
          <w:rFonts w:ascii="Times New Roman" w:hAnsi="Times New Roman"/>
          <w:sz w:val="20"/>
          <w:u w:val="single"/>
        </w:rPr>
        <w:t>Retained Shared Contract</w:t>
      </w:r>
      <w:r>
        <w:rPr>
          <w:rFonts w:ascii="Times New Roman" w:hAnsi="Times New Roman"/>
          <w:sz w:val="20"/>
        </w:rPr>
        <w:t xml:space="preserve">”), in each case, on terms and conditions which, in the aggregate, are comparable to those of such Shared Contract prior to the separation (unless explicitly agreed by Parent on a case-by-case basis). </w:t>
      </w:r>
    </w:p>
    <w:p>
      <w:pPr>
        <w:pStyle w:val="TextBody"/>
        <w:bidi w:val="0"/>
        <w:spacing w:before="240" w:after="0"/>
        <w:jc w:val="left"/>
        <w:rPr>
          <w:rFonts w:ascii="Times New Roman" w:hAnsi="Times New Roman"/>
          <w:sz w:val="20"/>
        </w:rPr>
      </w:pPr>
      <w:r>
        <w:rPr>
          <w:rFonts w:ascii="Times New Roman" w:hAnsi="Times New Roman"/>
          <w:sz w:val="20"/>
        </w:rPr>
        <w:t xml:space="preserve">(b) From and after the Closing, to the extent any Shared Contract is not separated into a Transferred Shared Contract and Retained Shared Contracts in accordance with this </w:t>
      </w:r>
      <w:r>
        <w:rPr>
          <w:rFonts w:ascii="Times New Roman" w:hAnsi="Times New Roman"/>
          <w:sz w:val="20"/>
          <w:u w:val="single"/>
        </w:rPr>
        <w:t>Section 6.13</w:t>
      </w:r>
      <w:r>
        <w:rPr>
          <w:rFonts w:ascii="Times New Roman" w:hAnsi="Times New Roman"/>
          <w:sz w:val="20"/>
        </w:rPr>
        <w:t xml:space="preserve">, (i) Parent or the applicable member of the Company Group shall not extend the term or otherwise amend the terms of any such Shared Contract in a manner that would adversely affect Seller or any of its Affiliates without Seller’s prior written consent, and (ii) Seller and its Affiliates shall not extend the term or otherwise amend the terms of any such Shared Contract in a manner that would adversely affect the Parent or the Company Group without Parent’s prior written consent.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6.14. </w:t>
      </w:r>
      <w:r>
        <w:rPr>
          <w:rFonts w:ascii="Times New Roman" w:hAnsi="Times New Roman"/>
          <w:sz w:val="20"/>
          <w:u w:val="single"/>
        </w:rPr>
        <w:t>Certain Remittance</w:t>
      </w:r>
      <w:r>
        <w:rPr>
          <w:rFonts w:ascii="Times New Roman" w:hAnsi="Times New Roman"/>
          <w:sz w:val="20"/>
        </w:rPr>
        <w:t xml:space="preserve">. Any amount received by the Company Group from and after the Closing that consists of (a) returns of premium, unearned premium, refund, rebate or credit of premiums paid in respect of any insurance policy of the Company Group that was terminated or cancelled at or prior to the Closing, in all cases not exceeding $50,000 in aggregate, (b) proceeds received from the matter set forth as Item (i)(2) on Section 4.11 of the Company Disclosure Letter (whether by way of payment, settlement, judgment, award, damages, interest, cost recovery or otherwise), net of any costs and expenses related thereto, (c) any refund, drawback, rebate, reimbursement, credit or other recovery (including any interest paid thereon by any Governmental Authority) of any tariff, customs duty or any other import duty, imposed under the International Emergency Economic Powers Act (“IEEPA”), in each case paid by or on behalf of any member of the Company Group with respect to any period (or portion thereof) ending on or prior to February 24, 2026, or (d) any Income Tax refund or credit or offset in lieu thereof (including any interest paid or credited by a Governmental Authority with respect thereto) of the Company Group with respect to a Pre-Closing Tax Period ending on or after December 31, 2025 (calculated, in the case of a Straddle Period, in a manner consistent with the methodology of Section 6.05(a), </w:t>
      </w:r>
      <w:r>
        <w:rPr>
          <w:rFonts w:ascii="Times New Roman" w:hAnsi="Times New Roman"/>
          <w:i/>
          <w:sz w:val="20"/>
        </w:rPr>
        <w:t>mutatis mutandis</w:t>
      </w:r>
      <w:r>
        <w:rPr>
          <w:rFonts w:ascii="Times New Roman" w:hAnsi="Times New Roman"/>
          <w:sz w:val="20"/>
        </w:rPr>
        <w:t>), except to the extent such refund, credit or offset was included as an asset in the calculation of Net Working Capital or Indebtedness (any such amount in clause (a), (b), (c) or (d), a “</w:t>
      </w:r>
      <w:r>
        <w:rPr>
          <w:rFonts w:ascii="Times New Roman" w:hAnsi="Times New Roman"/>
          <w:sz w:val="20"/>
          <w:u w:val="single"/>
        </w:rPr>
        <w:t>Remittance Amount</w:t>
      </w:r>
      <w:r>
        <w:rPr>
          <w:rFonts w:ascii="Times New Roman" w:hAnsi="Times New Roman"/>
          <w:sz w:val="20"/>
        </w:rPr>
        <w:t xml:space="preserve">”), in each case, shall be for the sole account of, and shall be the property of, Seller. If Parent or any member of the Company Group receives any Remittance Amount (or any such amount is applied as a credit against any premium or other amount owed by any of them), Parent shall, or shall cause such Person to, remit to Seller an amount in cash equal to such Remittance Amount, by wire transfer of immediately available funds to an account designated by Seller in writing, within thirty (30) Business Days after receipt thereof, without any deduction, setoff or counterclaim (other than any withholding or other obligation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6.15. </w:t>
      </w:r>
      <w:r>
        <w:rPr>
          <w:rFonts w:ascii="Times New Roman" w:hAnsi="Times New Roman"/>
          <w:sz w:val="20"/>
          <w:u w:val="single"/>
        </w:rPr>
        <w:t>Leaseback of Antique Firearms</w:t>
      </w:r>
      <w:r>
        <w:rPr>
          <w:rFonts w:ascii="Times New Roman" w:hAnsi="Times New Roman"/>
          <w:sz w:val="20"/>
        </w:rPr>
        <w:t>. Following the Closing, Seller and its Affiliates (other than the Company Group) and Parent and its Affiliates shall negotiate in good faith and enter into a lease agreement (the “</w:t>
      </w:r>
      <w:r>
        <w:rPr>
          <w:rFonts w:ascii="Times New Roman" w:hAnsi="Times New Roman"/>
          <w:sz w:val="20"/>
          <w:u w:val="single"/>
        </w:rPr>
        <w:t>Leaseback Agreement</w:t>
      </w:r>
      <w:r>
        <w:rPr>
          <w:rFonts w:ascii="Times New Roman" w:hAnsi="Times New Roman"/>
          <w:sz w:val="20"/>
        </w:rPr>
        <w:t xml:space="preserve">”) pursuant to which Seller shall lease to the applicable member of the Company Group the Antique Firearms. The Leaseback Agreement shall provide for the terms set forth on </w:t>
      </w:r>
      <w:r>
        <w:rPr>
          <w:rFonts w:ascii="Times New Roman" w:hAnsi="Times New Roman"/>
          <w:sz w:val="20"/>
          <w:u w:val="single"/>
        </w:rPr>
        <w:t>Schedule 6.15</w:t>
      </w:r>
      <w:r>
        <w:rPr>
          <w:rFonts w:ascii="Times New Roman" w:hAnsi="Times New Roman"/>
          <w:sz w:val="20"/>
        </w:rPr>
        <w:t xml:space="preserve"> hereto. The Parties shall use commercially reasonable efforts to finalize and execute the Leaseback Agreement within one hundred eighty (180) days after the Closing Date.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CLOSING DELIVERIES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Company’s and Seller’s Closing Deliveries</w:t>
      </w:r>
      <w:r>
        <w:rPr>
          <w:rFonts w:ascii="Times New Roman" w:hAnsi="Times New Roman"/>
          <w:sz w:val="20"/>
        </w:rPr>
        <w:t xml:space="preserve">. At or prior to the Closing, the Seller or Company, as applicable, shall have delivered (or caused to be delivered) to Parent: </w:t>
      </w:r>
    </w:p>
    <w:p>
      <w:pPr>
        <w:pStyle w:val="TextBody"/>
        <w:bidi w:val="0"/>
        <w:spacing w:before="240" w:after="0"/>
        <w:jc w:val="left"/>
        <w:rPr>
          <w:rFonts w:ascii="Times New Roman" w:hAnsi="Times New Roman"/>
          <w:sz w:val="20"/>
        </w:rPr>
      </w:pPr>
      <w:r>
        <w:rPr>
          <w:rFonts w:ascii="Times New Roman" w:hAnsi="Times New Roman"/>
          <w:sz w:val="20"/>
        </w:rPr>
        <w:t xml:space="preserve">(a) the First Certificate of Merger, duly executed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(b) the Investor Rights Agreement, duly executed by Seller; </w:t>
      </w:r>
    </w:p>
    <w:p>
      <w:pPr>
        <w:pStyle w:val="TextBody"/>
        <w:bidi w:val="0"/>
        <w:spacing w:before="240" w:after="0"/>
        <w:jc w:val="left"/>
        <w:rPr>
          <w:rFonts w:ascii="Times New Roman" w:hAnsi="Times New Roman"/>
          <w:sz w:val="20"/>
        </w:rPr>
      </w:pPr>
      <w:r>
        <w:rPr>
          <w:rFonts w:ascii="Times New Roman" w:hAnsi="Times New Roman"/>
          <w:sz w:val="20"/>
        </w:rPr>
        <w:t xml:space="preserve">(c) an IRS Form W-9, properly completed and duly executed by Seller; </w:t>
      </w:r>
    </w:p>
    <w:p>
      <w:pPr>
        <w:pStyle w:val="TextBody"/>
        <w:bidi w:val="0"/>
        <w:spacing w:before="240" w:after="0"/>
        <w:jc w:val="left"/>
        <w:rPr>
          <w:rFonts w:ascii="Times New Roman" w:hAnsi="Times New Roman"/>
          <w:sz w:val="20"/>
        </w:rPr>
      </w:pPr>
      <w:r>
        <w:rPr>
          <w:rFonts w:ascii="Times New Roman" w:hAnsi="Times New Roman"/>
          <w:sz w:val="20"/>
        </w:rPr>
        <w:t xml:space="preserve">(d) letters of resignation and release of the directors, managers and officers of the Company Group set forth on </w:t>
      </w:r>
      <w:r>
        <w:rPr>
          <w:rFonts w:ascii="Times New Roman" w:hAnsi="Times New Roman"/>
          <w:sz w:val="20"/>
          <w:u w:val="single"/>
        </w:rPr>
        <w:t>Section 7.01(d)</w:t>
      </w:r>
      <w:r>
        <w:rPr>
          <w:rFonts w:ascii="Times New Roman" w:hAnsi="Times New Roman"/>
          <w:sz w:val="20"/>
        </w:rPr>
        <w:t xml:space="preserve"> of the Company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(e) a good standing certificate for each member of the Company Group from the Secretary of State or other applicable Governmental Authority of such entity’s respective jurisdiction of formation dated as of a date not earlier than three (3) days prior to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a certificate dated as of the Closing Date, duly executed by a duly authorized officer of the Company, certifying that (A) the attached copy of the resolutions of the Board of Directors or other governing body of the Company authorizing and approving the execution, delivery and performance of this Agreement, and the consummation of the Transactions are true, correct and complete, and stating that such resolutions of the Board of Directors or other governing body have not been amended, modified, revoked or rescinded, and (B) the attached Organizational Documents of the Company (and the Company Subsidiaries) are true, correct and complete and in full force and effect, and such Organizational Documents have not been amended, modified, revoked or rescinded, except as expressly authorized or required hereunder; </w:t>
      </w:r>
    </w:p>
    <w:p>
      <w:pPr>
        <w:pStyle w:val="TextBody"/>
        <w:bidi w:val="0"/>
        <w:spacing w:before="240" w:after="0"/>
        <w:jc w:val="left"/>
        <w:rPr>
          <w:rFonts w:ascii="Times New Roman" w:hAnsi="Times New Roman"/>
          <w:sz w:val="20"/>
        </w:rPr>
      </w:pPr>
      <w:r>
        <w:rPr>
          <w:rFonts w:ascii="Times New Roman" w:hAnsi="Times New Roman"/>
          <w:sz w:val="20"/>
        </w:rPr>
        <w:t xml:space="preserve">(g) a certificate dated as of the Closing Date, duly executed by a duly authorized officer or manager of Seller, certifying that the attached copy of the resolutions of the Board of Directors or other governing body of Seller authorizing and approving the execution, delivery and performance of this Agreement, and the consummation of the Transactions are true, correct and complete, and stating that such resolutions of the Board of Directors or other governing body have not been amended, modified, revoked or rescinded; </w:t>
      </w:r>
    </w:p>
    <w:p>
      <w:pPr>
        <w:pStyle w:val="TextBody"/>
        <w:bidi w:val="0"/>
        <w:spacing w:before="240" w:after="0"/>
        <w:jc w:val="left"/>
        <w:rPr>
          <w:rFonts w:ascii="Times New Roman" w:hAnsi="Times New Roman"/>
          <w:sz w:val="20"/>
        </w:rPr>
      </w:pPr>
      <w:r>
        <w:rPr>
          <w:rFonts w:ascii="Times New Roman" w:hAnsi="Times New Roman"/>
          <w:sz w:val="20"/>
        </w:rPr>
        <w:t xml:space="preserve">(h) the executed Consents of, and evidence that the required notices have been delivered to, the third parties as set forth on </w:t>
      </w:r>
      <w:r>
        <w:rPr>
          <w:rFonts w:ascii="Times New Roman" w:hAnsi="Times New Roman"/>
          <w:sz w:val="20"/>
          <w:u w:val="single"/>
        </w:rPr>
        <w:t>Section 7.01(h)</w:t>
      </w:r>
      <w:r>
        <w:rPr>
          <w:rFonts w:ascii="Times New Roman" w:hAnsi="Times New Roman"/>
          <w:sz w:val="20"/>
        </w:rPr>
        <w:t xml:space="preserve"> of the Company Disclosure Letter, each in form reasonably satisfactory to Parent; </w:t>
      </w:r>
    </w:p>
    <w:p>
      <w:pPr>
        <w:pStyle w:val="TextBody"/>
        <w:bidi w:val="0"/>
        <w:spacing w:before="240" w:after="0"/>
        <w:jc w:val="left"/>
        <w:rPr>
          <w:rFonts w:ascii="Times New Roman" w:hAnsi="Times New Roman"/>
          <w:sz w:val="20"/>
        </w:rPr>
      </w:pPr>
      <w:r>
        <w:rPr>
          <w:rFonts w:ascii="Times New Roman" w:hAnsi="Times New Roman"/>
          <w:sz w:val="20"/>
        </w:rPr>
        <w:t xml:space="preserve">(i) a duly executed investor questionnaire in the form attached hereto as </w:t>
      </w:r>
      <w:r>
        <w:rPr>
          <w:rFonts w:ascii="Times New Roman" w:hAnsi="Times New Roman"/>
          <w:sz w:val="20"/>
          <w:u w:val="single"/>
        </w:rPr>
        <w:t>Exhibit C</w:t>
      </w:r>
      <w:r>
        <w:rPr>
          <w:rFonts w:ascii="Times New Roman" w:hAnsi="Times New Roman"/>
          <w:sz w:val="20"/>
        </w:rPr>
        <w:t xml:space="preserve"> (the “</w:t>
      </w:r>
      <w:r>
        <w:rPr>
          <w:rFonts w:ascii="Times New Roman" w:hAnsi="Times New Roman"/>
          <w:sz w:val="20"/>
          <w:u w:val="single"/>
        </w:rPr>
        <w:t>Investor Questionnaire</w:t>
      </w:r>
      <w:r>
        <w:rPr>
          <w:rFonts w:ascii="Times New Roman" w:hAnsi="Times New Roman"/>
          <w:sz w:val="20"/>
        </w:rPr>
        <w:t xml:space="preserve">”) from Seller, which shall be delivered to Parent at least one (1) Business Day prior to the Closing Date and shall be true, correct and complete as of the Effective Time and shall certify that Seller is an “accredited investor” pursuant to Regulation D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(j) documents evidencing its purchase and payment in full of the D&amp;O Insurance, and evidence that such D&amp;O Insurance shall be bound as of the Effective Time, on terms reasonably acceptable to Parent; </w:t>
      </w:r>
    </w:p>
    <w:p>
      <w:pPr>
        <w:pStyle w:val="TextBody"/>
        <w:bidi w:val="0"/>
        <w:spacing w:before="240" w:after="0"/>
        <w:jc w:val="left"/>
        <w:rPr>
          <w:rFonts w:ascii="Times New Roman" w:hAnsi="Times New Roman"/>
          <w:sz w:val="20"/>
        </w:rPr>
      </w:pPr>
      <w:r>
        <w:rPr>
          <w:rFonts w:ascii="Times New Roman" w:hAnsi="Times New Roman"/>
          <w:sz w:val="20"/>
        </w:rPr>
        <w:t xml:space="preserve">(k) a digital copy of all documents and other information that was included in the Virtual Data Room on or prior to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(l) evidence in form and substance reasonably acceptable to Parent that each of the Contracts or arrangements identified on </w:t>
      </w:r>
      <w:r>
        <w:rPr>
          <w:rFonts w:ascii="Times New Roman" w:hAnsi="Times New Roman"/>
          <w:sz w:val="20"/>
          <w:u w:val="single"/>
        </w:rPr>
        <w:t>Section 7.01(l)</w:t>
      </w:r>
      <w:r>
        <w:rPr>
          <w:rFonts w:ascii="Times New Roman" w:hAnsi="Times New Roman"/>
          <w:sz w:val="20"/>
        </w:rPr>
        <w:t xml:space="preserve"> of the Company Disclosure Letter have been terminated and the parties to such Contract or arrangement have waived all of their respective rights thereunder, in each case effective prior to or as of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(m) the Estimated Closing Statement pursuant to </w:t>
      </w:r>
      <w:r>
        <w:rPr>
          <w:rFonts w:ascii="Times New Roman" w:hAnsi="Times New Roman"/>
          <w:sz w:val="20"/>
          <w:u w:val="single"/>
        </w:rPr>
        <w:t>Section 2.05(a)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 such documentation as may be required for repayment and satisfaction of the Closing Indebtedness and termination and release of all Liens associated therewith; </w:t>
      </w:r>
    </w:p>
    <w:p>
      <w:pPr>
        <w:pStyle w:val="TextBody"/>
        <w:bidi w:val="0"/>
        <w:spacing w:before="240" w:after="0"/>
        <w:jc w:val="left"/>
        <w:rPr>
          <w:rFonts w:ascii="Times New Roman" w:hAnsi="Times New Roman"/>
          <w:sz w:val="20"/>
        </w:rPr>
      </w:pPr>
      <w:r>
        <w:rPr>
          <w:rFonts w:ascii="Times New Roman" w:hAnsi="Times New Roman"/>
          <w:sz w:val="20"/>
        </w:rPr>
        <w:t xml:space="preserve">(o) such documentation as may be required for the termination and release of all Liens on any Company Asset; and </w:t>
      </w:r>
    </w:p>
    <w:p>
      <w:pPr>
        <w:pStyle w:val="TextBody"/>
        <w:bidi w:val="0"/>
        <w:spacing w:before="240" w:after="0"/>
        <w:jc w:val="left"/>
        <w:rPr>
          <w:rFonts w:ascii="Times New Roman" w:hAnsi="Times New Roman"/>
          <w:sz w:val="20"/>
        </w:rPr>
      </w:pPr>
      <w:r>
        <w:rPr>
          <w:rFonts w:ascii="Times New Roman" w:hAnsi="Times New Roman"/>
          <w:sz w:val="20"/>
        </w:rPr>
        <w:t xml:space="preserve">(p) the Seller Parent Guaranty, duly executed by Seller Parent.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Parent’s and Merger Sub’s Closing Deliveries</w:t>
      </w:r>
      <w:r>
        <w:rPr>
          <w:rFonts w:ascii="Times New Roman" w:hAnsi="Times New Roman"/>
          <w:sz w:val="20"/>
        </w:rPr>
        <w:t xml:space="preserve">. At or prior to the Closing, Parent or Merger Sub, as applicable, shall have delivered (or caused to be delivered) to Seller and Company: </w:t>
      </w:r>
    </w:p>
    <w:p>
      <w:pPr>
        <w:pStyle w:val="TextBody"/>
        <w:bidi w:val="0"/>
        <w:spacing w:before="240" w:after="0"/>
        <w:jc w:val="left"/>
        <w:rPr>
          <w:rFonts w:ascii="Times New Roman" w:hAnsi="Times New Roman"/>
          <w:sz w:val="20"/>
        </w:rPr>
      </w:pPr>
      <w:r>
        <w:rPr>
          <w:rFonts w:ascii="Times New Roman" w:hAnsi="Times New Roman"/>
          <w:sz w:val="20"/>
        </w:rPr>
        <w:t xml:space="preserve">(a) evidence of irrevocable instruction provided to Transfer Agent issuing shares of Parent Common Stock as part of the Initial Merger Consideration (which can be in the form of email); </w:t>
      </w:r>
      <w:r>
        <w:rPr>
          <w:rFonts w:ascii="Times New Roman" w:hAnsi="Times New Roman"/>
          <w:i/>
          <w:sz w:val="20"/>
        </w:rPr>
        <w:t>provided</w:t>
      </w:r>
      <w:r>
        <w:rPr>
          <w:rFonts w:ascii="Times New Roman" w:hAnsi="Times New Roman"/>
          <w:sz w:val="20"/>
        </w:rPr>
        <w:t xml:space="preserve"> that, Parent shall promptly provide on the Closing Date, when available, corresponding book entry statement (or other form of Transfer Agent confirmation) showing such shares of Parent Common Stock registered in Seller’s name (which can be in the form of a screenshot provided by Transfer Agent via email);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Second Certificate of Merger, duly executed by Parent; </w:t>
      </w:r>
    </w:p>
    <w:p>
      <w:pPr>
        <w:pStyle w:val="TextBody"/>
        <w:bidi w:val="0"/>
        <w:spacing w:before="240" w:after="0"/>
        <w:jc w:val="left"/>
        <w:rPr>
          <w:rFonts w:ascii="Times New Roman" w:hAnsi="Times New Roman"/>
          <w:sz w:val="20"/>
        </w:rPr>
      </w:pPr>
      <w:r>
        <w:rPr>
          <w:rFonts w:ascii="Times New Roman" w:hAnsi="Times New Roman"/>
          <w:sz w:val="20"/>
        </w:rPr>
        <w:t xml:space="preserve">(c) payment of Estimated Cash Consideration by wire transfer of immediately available funds to an account designated in writing by Seller; </w:t>
      </w:r>
    </w:p>
    <w:p>
      <w:pPr>
        <w:pStyle w:val="TextBody"/>
        <w:bidi w:val="0"/>
        <w:spacing w:before="240" w:after="0"/>
        <w:jc w:val="left"/>
        <w:rPr>
          <w:rFonts w:ascii="Times New Roman" w:hAnsi="Times New Roman"/>
          <w:sz w:val="20"/>
        </w:rPr>
      </w:pPr>
      <w:r>
        <w:rPr>
          <w:rFonts w:ascii="Times New Roman" w:hAnsi="Times New Roman"/>
          <w:sz w:val="20"/>
        </w:rPr>
        <w:t xml:space="preserve">(d) a Listing of Additional Shares Notification Form, which Parent shall have submitted to Nasdaq not less than fifteen (15) calendar days prior to the date of this Agreement, with respect to the shares of Parent Common Stock issued as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(e) the Investor Rights Agreement, duly executed by Parent; and </w:t>
      </w:r>
    </w:p>
    <w:p>
      <w:pPr>
        <w:pStyle w:val="TextBody"/>
        <w:bidi w:val="0"/>
        <w:spacing w:before="240" w:after="0"/>
        <w:jc w:val="left"/>
        <w:rPr>
          <w:rFonts w:ascii="Times New Roman" w:hAnsi="Times New Roman"/>
          <w:sz w:val="20"/>
        </w:rPr>
      </w:pPr>
      <w:r>
        <w:rPr>
          <w:rFonts w:ascii="Times New Roman" w:hAnsi="Times New Roman"/>
          <w:sz w:val="20"/>
        </w:rPr>
        <w:t xml:space="preserve">(f) a certificate dated as of the Closing Date, duly executed by the Secretary of Parent, certifying that the attached copy of the resolutions of the Board of Directors of Parent authorizing and approving (A) the execution, delivery and performance of this Agreement and each Transaction Document to which Parent is a party, (B) the consummation of the Transactions, including the First Step Merger and the Second Step Merger, (C) the issuance of the shares of Parent Common Stock and payment of cash constituting the Merger Consideration, and (D) the submission of the Listing of Additional Shares Notification Form to Nasdaq, are true, correct and complete, and stating that such resolutions have not been amended, modified, revoked or rescinded.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SURVIVAL;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Survival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representations and warranties in </w:t>
      </w:r>
      <w:r>
        <w:rPr>
          <w:rFonts w:ascii="Times New Roman" w:hAnsi="Times New Roman"/>
          <w:sz w:val="20"/>
          <w:u w:val="single"/>
        </w:rPr>
        <w:t>Article III</w:t>
      </w:r>
      <w:r>
        <w:rPr>
          <w:rFonts w:ascii="Times New Roman" w:hAnsi="Times New Roman"/>
          <w:sz w:val="20"/>
        </w:rPr>
        <w:t xml:space="preserve">, </w:t>
      </w:r>
      <w:r>
        <w:rPr>
          <w:rFonts w:ascii="Times New Roman" w:hAnsi="Times New Roman"/>
          <w:sz w:val="20"/>
          <w:u w:val="single"/>
        </w:rPr>
        <w:t>Article IV</w:t>
      </w:r>
      <w:r>
        <w:rPr>
          <w:rFonts w:ascii="Times New Roman" w:hAnsi="Times New Roman"/>
          <w:sz w:val="20"/>
        </w:rPr>
        <w:t xml:space="preserve"> and </w:t>
      </w:r>
      <w:r>
        <w:rPr>
          <w:rFonts w:ascii="Times New Roman" w:hAnsi="Times New Roman"/>
          <w:sz w:val="20"/>
          <w:u w:val="single"/>
        </w:rPr>
        <w:t>Article V</w:t>
      </w:r>
      <w:r>
        <w:rPr>
          <w:rFonts w:ascii="Times New Roman" w:hAnsi="Times New Roman"/>
          <w:sz w:val="20"/>
        </w:rPr>
        <w:t xml:space="preserve"> (other than the Fundamental Representations therein) shall not survive the Closing and the Fundamental Representations in </w:t>
      </w:r>
      <w:r>
        <w:rPr>
          <w:rFonts w:ascii="Times New Roman" w:hAnsi="Times New Roman"/>
          <w:sz w:val="20"/>
          <w:u w:val="single"/>
        </w:rPr>
        <w:t>Article IV</w:t>
      </w:r>
      <w:r>
        <w:rPr>
          <w:rFonts w:ascii="Times New Roman" w:hAnsi="Times New Roman"/>
          <w:sz w:val="20"/>
        </w:rPr>
        <w:t xml:space="preserve"> and </w:t>
      </w:r>
      <w:r>
        <w:rPr>
          <w:rFonts w:ascii="Times New Roman" w:hAnsi="Times New Roman"/>
          <w:sz w:val="20"/>
          <w:u w:val="single"/>
        </w:rPr>
        <w:t>Article V</w:t>
      </w:r>
      <w:r>
        <w:rPr>
          <w:rFonts w:ascii="Times New Roman" w:hAnsi="Times New Roman"/>
          <w:sz w:val="20"/>
        </w:rPr>
        <w:t xml:space="preserve"> shall survive the Closing for four (4) years after the Closing Date. The covenants and agreements contained herein that contemplate performance following the Closing shall survive the Closing and remain in full force and effect until fully performed or for the term stated therein. The indemnification obligation set forth in </w:t>
      </w:r>
      <w:r>
        <w:rPr>
          <w:rFonts w:ascii="Times New Roman" w:hAnsi="Times New Roman"/>
          <w:sz w:val="20"/>
          <w:u w:val="single"/>
        </w:rPr>
        <w:t>Section 8.02</w:t>
      </w:r>
      <w:r>
        <w:rPr>
          <w:rFonts w:ascii="Times New Roman" w:hAnsi="Times New Roman"/>
          <w:sz w:val="20"/>
        </w:rPr>
        <w:t xml:space="preserve"> (i) with respect to Item #1, Item #2, Item #3 and Item #4 set forth on </w:t>
      </w:r>
      <w:r>
        <w:rPr>
          <w:rFonts w:ascii="Times New Roman" w:hAnsi="Times New Roman"/>
          <w:sz w:val="20"/>
          <w:u w:val="single"/>
        </w:rPr>
        <w:t>Schedule 8.02</w:t>
      </w:r>
      <w:r>
        <w:rPr>
          <w:rFonts w:ascii="Times New Roman" w:hAnsi="Times New Roman"/>
          <w:sz w:val="20"/>
        </w:rPr>
        <w:t xml:space="preserve">, shall survive the Closing indefinitely, and (ii) with respect to Item #5, Item #6 and Item #7 set forth on Schedule 8.02, shall survive the Closing until the date that is sixty (60) days after the expiration of the applicable statute of limitations (including the normal reassessment period under the ITA and any comparable Law of any province or territory of Canada). For the avoidance of doubt, the parties hereto acknowledge, accept, and agree that the survival periods prescribed in this </w:t>
      </w:r>
      <w:r>
        <w:rPr>
          <w:rFonts w:ascii="Times New Roman" w:hAnsi="Times New Roman"/>
          <w:sz w:val="20"/>
          <w:u w:val="single"/>
        </w:rPr>
        <w:t>Section 8.01</w:t>
      </w:r>
      <w:r>
        <w:rPr>
          <w:rFonts w:ascii="Times New Roman" w:hAnsi="Times New Roman"/>
          <w:sz w:val="20"/>
        </w:rPr>
        <w:t xml:space="preserve"> shall supersede and replace any statutes of limitations that would otherwise be applicable.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herein to the contrary, (i) if any Party makes any written claim for indemnification hereunder prior to the Expiration Date for the representation, warranty, or covenant on which such claim is based, such representation, warranty, or covenant shall not expire with respect to such claim and such claim may be pursued until the final resolution thereof in accordance with the provisions of this </w:t>
      </w:r>
      <w:r>
        <w:rPr>
          <w:rFonts w:ascii="Times New Roman" w:hAnsi="Times New Roman"/>
          <w:sz w:val="20"/>
          <w:u w:val="single"/>
        </w:rPr>
        <w:t>Article VIII</w:t>
      </w:r>
      <w:r>
        <w:rPr>
          <w:rFonts w:ascii="Times New Roman" w:hAnsi="Times New Roman"/>
          <w:sz w:val="20"/>
        </w:rPr>
        <w:t xml:space="preserve">, and (ii) in no case shall the expiration of any representation, warranty, or covenant affect any claim based on, for or in respect of Fraud or affect Parent Indemnified Parties’ rights against the R&amp;W Insurance Policy and to pursue claims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Indemnification of Parent Indemnified Parties</w:t>
      </w:r>
      <w:r>
        <w:rPr>
          <w:rFonts w:ascii="Times New Roman" w:hAnsi="Times New Roman"/>
          <w:sz w:val="20"/>
        </w:rPr>
        <w:t xml:space="preserve">. Subject to the limitations set forth in Section 8.03, from and after the Closing, Seller hereby agrees to indemnify, reimburse, defend and hold each Parent Indemnified Party harmless from and against any and all Losses sustained or incurred by such Parent Indemnified Party in connection with, arising out of, resulting from, or based upon: </w:t>
      </w:r>
    </w:p>
    <w:p>
      <w:pPr>
        <w:pStyle w:val="TextBody"/>
        <w:bidi w:val="0"/>
        <w:spacing w:before="240" w:after="0"/>
        <w:jc w:val="left"/>
        <w:rPr>
          <w:rFonts w:ascii="Times New Roman" w:hAnsi="Times New Roman"/>
          <w:sz w:val="20"/>
        </w:rPr>
      </w:pPr>
      <w:r>
        <w:rPr>
          <w:rFonts w:ascii="Times New Roman" w:hAnsi="Times New Roman"/>
          <w:sz w:val="20"/>
        </w:rPr>
        <w:t xml:space="preserve">(a) any inaccuracy in or breach of any Fundamental Representation; </w:t>
      </w:r>
    </w:p>
    <w:p>
      <w:pPr>
        <w:pStyle w:val="TextBody"/>
        <w:bidi w:val="0"/>
        <w:spacing w:before="240" w:after="0"/>
        <w:jc w:val="left"/>
        <w:rPr>
          <w:rFonts w:ascii="Times New Roman" w:hAnsi="Times New Roman"/>
          <w:sz w:val="20"/>
        </w:rPr>
      </w:pPr>
      <w:r>
        <w:rPr>
          <w:rFonts w:ascii="Times New Roman" w:hAnsi="Times New Roman"/>
          <w:sz w:val="20"/>
        </w:rPr>
        <w:t xml:space="preserve">(b) the breach or violation of any agreement, covenant or obligation made by the Company or Seller in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(c) any matter identified on </w:t>
      </w:r>
      <w:r>
        <w:rPr>
          <w:rFonts w:ascii="Times New Roman" w:hAnsi="Times New Roman"/>
          <w:sz w:val="20"/>
          <w:u w:val="single"/>
        </w:rPr>
        <w:t>Schedule 8.02</w:t>
      </w:r>
      <w:r>
        <w:rPr>
          <w:rFonts w:ascii="Times New Roman" w:hAnsi="Times New Roman"/>
          <w:sz w:val="20"/>
        </w:rPr>
        <w:t xml:space="preserve"> (the “</w:t>
      </w:r>
      <w:r>
        <w:rPr>
          <w:rFonts w:ascii="Times New Roman" w:hAnsi="Times New Roman"/>
          <w:sz w:val="20"/>
          <w:u w:val="single"/>
        </w:rPr>
        <w:t>Specified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Limitations on Indemnification</w:t>
      </w:r>
      <w:r>
        <w:rPr>
          <w:rFonts w:ascii="Times New Roman" w:hAnsi="Times New Roman"/>
          <w:sz w:val="20"/>
        </w:rPr>
        <w:t xml:space="preserve">. Notwithstanding anything herein to the contrary, the indemnification obligations of Seller pursuant to </w:t>
      </w:r>
      <w:r>
        <w:rPr>
          <w:rFonts w:ascii="Times New Roman" w:hAnsi="Times New Roman"/>
          <w:sz w:val="20"/>
          <w:u w:val="single"/>
        </w:rPr>
        <w:t>Section 8.02</w:t>
      </w:r>
      <w:r>
        <w:rPr>
          <w:rFonts w:ascii="Times New Roman" w:hAnsi="Times New Roman"/>
          <w:sz w:val="20"/>
        </w:rPr>
        <w:t xml:space="preserve"> shall be limited as follows: </w:t>
      </w:r>
    </w:p>
    <w:p>
      <w:pPr>
        <w:pStyle w:val="TextBody"/>
        <w:bidi w:val="0"/>
        <w:spacing w:before="240" w:after="0"/>
        <w:jc w:val="left"/>
        <w:rPr>
          <w:rFonts w:ascii="Times New Roman" w:hAnsi="Times New Roman"/>
          <w:sz w:val="20"/>
        </w:rPr>
      </w:pPr>
      <w:r>
        <w:rPr>
          <w:rFonts w:ascii="Times New Roman" w:hAnsi="Times New Roman"/>
          <w:sz w:val="20"/>
        </w:rPr>
        <w:t xml:space="preserve">(a) with respect to Item #2 set forth on </w:t>
      </w:r>
      <w:r>
        <w:rPr>
          <w:rFonts w:ascii="Times New Roman" w:hAnsi="Times New Roman"/>
          <w:sz w:val="20"/>
          <w:u w:val="single"/>
        </w:rPr>
        <w:t>Schedule 8.02</w:t>
      </w:r>
      <w:r>
        <w:rPr>
          <w:rFonts w:ascii="Times New Roman" w:hAnsi="Times New Roman"/>
          <w:sz w:val="20"/>
        </w:rPr>
        <w:t xml:space="preserve">, in no event shall the aggregate liability of Seller for indemnification pursuant to </w:t>
      </w:r>
      <w:r>
        <w:rPr>
          <w:rFonts w:ascii="Times New Roman" w:hAnsi="Times New Roman"/>
          <w:sz w:val="20"/>
          <w:u w:val="single"/>
        </w:rPr>
        <w:t>Section 8.02</w:t>
      </w:r>
      <w:r>
        <w:rPr>
          <w:rFonts w:ascii="Times New Roman" w:hAnsi="Times New Roman"/>
          <w:sz w:val="20"/>
        </w:rPr>
        <w:t xml:space="preserve"> exceed $1,000,000; </w:t>
      </w:r>
    </w:p>
    <w:p>
      <w:pPr>
        <w:pStyle w:val="TextBody"/>
        <w:bidi w:val="0"/>
        <w:spacing w:before="240" w:after="0"/>
        <w:jc w:val="left"/>
        <w:rPr>
          <w:rFonts w:ascii="Times New Roman" w:hAnsi="Times New Roman"/>
          <w:sz w:val="20"/>
        </w:rPr>
      </w:pPr>
      <w:r>
        <w:rPr>
          <w:rFonts w:ascii="Times New Roman" w:hAnsi="Times New Roman"/>
          <w:sz w:val="20"/>
        </w:rPr>
        <w:t xml:space="preserve">(b) the maximum aggregate liability of Seller Indemnified Parties for all claims under </w:t>
      </w:r>
      <w:r>
        <w:rPr>
          <w:rFonts w:ascii="Times New Roman" w:hAnsi="Times New Roman"/>
          <w:sz w:val="20"/>
          <w:u w:val="single"/>
        </w:rPr>
        <w:t>Section 8.02</w:t>
      </w:r>
      <w:r>
        <w:rPr>
          <w:rFonts w:ascii="Times New Roman" w:hAnsi="Times New Roman"/>
          <w:sz w:val="20"/>
        </w:rPr>
        <w:t xml:space="preserve"> shall not exceed the Base Transaction Value; and </w:t>
      </w:r>
    </w:p>
    <w:p>
      <w:pPr>
        <w:pStyle w:val="TextBody"/>
        <w:bidi w:val="0"/>
        <w:spacing w:before="240" w:after="0"/>
        <w:jc w:val="left"/>
        <w:rPr>
          <w:rFonts w:ascii="Times New Roman" w:hAnsi="Times New Roman"/>
          <w:sz w:val="20"/>
        </w:rPr>
      </w:pPr>
      <w:r>
        <w:rPr>
          <w:rFonts w:ascii="Times New Roman" w:hAnsi="Times New Roman"/>
          <w:sz w:val="20"/>
        </w:rPr>
        <w:t xml:space="preserve">(c) the limitations set forth in this </w:t>
      </w:r>
      <w:r>
        <w:rPr>
          <w:rFonts w:ascii="Times New Roman" w:hAnsi="Times New Roman"/>
          <w:sz w:val="20"/>
          <w:u w:val="single"/>
        </w:rPr>
        <w:t>Section 8.03</w:t>
      </w:r>
      <w:r>
        <w:rPr>
          <w:rFonts w:ascii="Times New Roman" w:hAnsi="Times New Roman"/>
          <w:sz w:val="20"/>
        </w:rPr>
        <w:t xml:space="preserve"> shall not apply to, and there shall be no restrictions herein whatsoever on, the Parent Indemnified Parties’ right to pursue claims against the R&amp;W Insurance Policy, subject to the terms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Third-Party Claims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In the event that a claim is made by a third Person (a “</w:t>
      </w:r>
      <w:r>
        <w:rPr>
          <w:rFonts w:ascii="Times New Roman" w:hAnsi="Times New Roman"/>
          <w:sz w:val="20"/>
          <w:u w:val="single"/>
        </w:rPr>
        <w:t>Third-Party Claim</w:t>
      </w:r>
      <w:r>
        <w:rPr>
          <w:rFonts w:ascii="Times New Roman" w:hAnsi="Times New Roman"/>
          <w:sz w:val="20"/>
        </w:rPr>
        <w:t>”) against any Person in connection with which such Person is (or is anticipated to be) entitled to indemnification under this Section 8.04 (an “</w:t>
      </w:r>
      <w:r>
        <w:rPr>
          <w:rFonts w:ascii="Times New Roman" w:hAnsi="Times New Roman"/>
          <w:sz w:val="20"/>
          <w:u w:val="single"/>
        </w:rPr>
        <w:t>Indemnified Party</w:t>
      </w:r>
      <w:r>
        <w:rPr>
          <w:rFonts w:ascii="Times New Roman" w:hAnsi="Times New Roman"/>
          <w:sz w:val="20"/>
        </w:rPr>
        <w:t>” and any Person required to provide indemnification under this Agreement, an “</w:t>
      </w:r>
      <w:r>
        <w:rPr>
          <w:rFonts w:ascii="Times New Roman" w:hAnsi="Times New Roman"/>
          <w:sz w:val="20"/>
          <w:u w:val="single"/>
        </w:rPr>
        <w:t>Indemnifying Party</w:t>
      </w:r>
      <w:r>
        <w:rPr>
          <w:rFonts w:ascii="Times New Roman" w:hAnsi="Times New Roman"/>
          <w:sz w:val="20"/>
        </w:rPr>
        <w:t xml:space="preserve">”), then the Indemnified Party shall provide notice to the Indemnifying Party promptly following the assertion of such Third-Party Claim;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failure to provide such notice will not relieve any Indemnifying Party of any Liability that it may have to any Indemnified Party, except to the extent that the Indemnifying Party demonstrates that the defense of such Third-Party Claim is actually and materially prejudiced by the Indemnified Party’s failure to give such notice. </w:t>
      </w:r>
    </w:p>
    <w:p>
      <w:pPr>
        <w:pStyle w:val="TextBody"/>
        <w:bidi w:val="0"/>
        <w:spacing w:before="240" w:after="0"/>
        <w:jc w:val="left"/>
        <w:rPr>
          <w:rFonts w:ascii="Times New Roman" w:hAnsi="Times New Roman"/>
          <w:sz w:val="20"/>
        </w:rPr>
      </w:pPr>
      <w:r>
        <w:rPr>
          <w:rFonts w:ascii="Times New Roman" w:hAnsi="Times New Roman"/>
          <w:sz w:val="20"/>
        </w:rPr>
        <w:t xml:space="preserve">(b) Upon receiving any notice from an Indemnified Party pursuant to </w:t>
      </w:r>
      <w:r>
        <w:rPr>
          <w:rFonts w:ascii="Times New Roman" w:hAnsi="Times New Roman"/>
          <w:sz w:val="20"/>
          <w:u w:val="single"/>
        </w:rPr>
        <w:t>Section 8.04(a)</w:t>
      </w:r>
      <w:r>
        <w:rPr>
          <w:rFonts w:ascii="Times New Roman" w:hAnsi="Times New Roman"/>
          <w:sz w:val="20"/>
        </w:rPr>
        <w:t xml:space="preserve">, the Indemnifying Party shall, at its sole cost and expense, be entitled to participate in the defense of such Third-Party Claim and to assume the defense of such Third-Party Claim with counsel reasonably satisfactory to the Indemnified Party. After notice from the Indemnifying Party to the Indemnified Party of its election to assume the defense of such Third-Party Claim, the Indemnifying Party shall not, so long as it diligently conducts such defense, be liable to the Indemnified Party under this </w:t>
      </w:r>
      <w:r>
        <w:rPr>
          <w:rFonts w:ascii="Times New Roman" w:hAnsi="Times New Roman"/>
          <w:sz w:val="20"/>
          <w:u w:val="single"/>
        </w:rPr>
        <w:t>Section 8.04</w:t>
      </w:r>
      <w:r>
        <w:rPr>
          <w:rFonts w:ascii="Times New Roman" w:hAnsi="Times New Roman"/>
          <w:sz w:val="20"/>
        </w:rPr>
        <w:t xml:space="preserve"> for any fees of other counsel or any other expenses with respect to the defense of such Third-Party Claim, in each case, subsequently incurred by the Indemnified Party in connection with the defense of such Third-Party Claim, except for reasonable costs of investigation. If the Indemnifying Party assumes the defense of a Third-Party Claim, (i) such assumption will conclusively establish for purposes of this Agreement that the claims made in the Third-Party Claim are within the scope of and subject to indemnification under this </w:t>
      </w:r>
      <w:r>
        <w:rPr>
          <w:rFonts w:ascii="Times New Roman" w:hAnsi="Times New Roman"/>
          <w:sz w:val="20"/>
          <w:u w:val="single"/>
        </w:rPr>
        <w:t>Section 8.04</w:t>
      </w:r>
      <w:r>
        <w:rPr>
          <w:rFonts w:ascii="Times New Roman" w:hAnsi="Times New Roman"/>
          <w:sz w:val="20"/>
        </w:rPr>
        <w:t xml:space="preserve">, (ii) no compromise or settlement of such Third-Party Claims may be effected by the Indemnifying Party without the Indemnified Party’s consent (which shall not be unreasonably withheld, conditioned or delayed) unless (A) there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finding or admission of violation of any Law or the rights of any Person and (B) the sole relief provided is monetary damages that are paid in full by the Indemnifying Party and such compromise or settlement includes an unconditional release of the Indemnified Party; and (iii) the Indemnified Party shall have no Liability with respect to any compromise or settlement of such Third-Party Claims effected without its consent. If notice of any Third-Party Claim is given to an Indemnifying Party in accordance with </w:t>
      </w:r>
      <w:r>
        <w:rPr>
          <w:rFonts w:ascii="Times New Roman" w:hAnsi="Times New Roman"/>
          <w:sz w:val="20"/>
          <w:u w:val="single"/>
        </w:rPr>
        <w:t>Section 8.04(a)</w:t>
      </w:r>
      <w:r>
        <w:rPr>
          <w:rFonts w:ascii="Times New Roman" w:hAnsi="Times New Roman"/>
          <w:sz w:val="20"/>
        </w:rPr>
        <w:t xml:space="preserve">, and the Indemnifying Party does not, within twenty (20) days after such notice is given, give notice to the Indemnified Party of its election to assume the defense of such Third-Party Claim, the Indemnifying Party will be bound by any determination made in such Third-Party Claim or any compromise or settlement thereof effected by the Indemnified Party. Notwithstanding the foregoing, the Seller shall not be required to provide notice to the Parent Indemnified Parties to assume the defense of any Specified Matter for which formal proceedings have been initiated prior to and are ongoing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the foregoing, if (i) an Indemnified Party reasonably determines that it is likely that a Third-Party Claim may adversely affect it or its Affiliates in any material respect other than as a result of monetary damages for which it would be entitled to indemnification under this Agreement, (ii) the Indemnifying Party is also a Person against whom the Third-Party Claim is made and the Indemnified Party reasonably determines that joint representation would be inappropriate, (iii) the Indemnifying Party fails to provide reasonable assurance to the Indemnified Party of its financial capacity to defend such Third-Party Claim and provide indemnification with respect to such Third-Party Claim at the sole cost and expense of the Indemnifying Party, (iv) the Third-Party Claim is made by a Governmental Authority, (v) the Indemnified Party reasonably believes that its share of the potential Losses claimed for which it would not be entitled to indemnification hereunder as a result of the limitations set forth herein could likely exceed the amount for which it could be entitled to indemnification hereunder, (vi) the Indemnifying Party fails to assume the defense of or fails to diligently conduct the defense of such Third-Party Claim, or (vii) the Third-Party Claim involves equitable relief or otherwise does not solely involve monetary damages, then, in any such case, the Indemnified Party shall have the right, by notice to the Indemnifying Party, to exclusively defend, compromise or settle such Third-Party Claim, but the Indemnifying Party will not be bound by any determination of any Third-Party Claim so defended for purposes of this Agreement or any compromise or settlement effected without its consent (which may not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in this Agreement, with respect to any Specified Matter, whether pending as of the Closing or commenced thereafter: (i) Seller shall have the sole and exclusive right, at its election and at its sole cost and expense, to control, direct and conduct the investigation, defense, prosecution, negotiation, compromise and settlement of such Specified Matter, with counsel of its choosing, in the name of Seller or the applicable member of the Company Group, as Seller may determine; (ii) Seller may compromise or settle any Specified Matter without the consent of Parent or any Parent Indemnified Party, so long as such compromise or settlement (A) provides solely for monetary relief that is paid in full by Seller and (B) does not impose any injunctive or other equitable relief on, or require or suggest any admission of impropriety or wrongdoing by, Parent, any Parent Indemnified Party, or any member of the Company Group, and any other compromise or settlement that does impose the items of clause (ii)(B) or otherwise shall require Parent’s prior written consent (not to be unreasonably withheld, conditioned or delayed); and (iii) no Parent Indemnified Party shall compromise, settle, admit liability with respect to or consent to the entry of any judgment in respect of any Specified Matter without Seller’s prior written consent (which may not be unreasonably withheld, conditioned or delayed), and Seller shall have no indemnification obligation with respect to any compromise, settlement or judgment effected in violation of this clause (iii) to the extent that Seller demonstrates that Seller is actually and materially prejudiced by such violation.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With respect to any Third-Party Claim subject to indemnification under this </w:t>
      </w:r>
      <w:r>
        <w:rPr>
          <w:rFonts w:ascii="Times New Roman" w:hAnsi="Times New Roman"/>
          <w:sz w:val="20"/>
          <w:u w:val="single"/>
        </w:rPr>
        <w:t>Section 8.04</w:t>
      </w:r>
      <w:r>
        <w:rPr>
          <w:rFonts w:ascii="Times New Roman" w:hAnsi="Times New Roman"/>
          <w:sz w:val="20"/>
        </w:rPr>
        <w:t xml:space="preserve">, (i) both the Indemnified Party and the Indemnifying Party, as the case may be, shall in all material respects keep the other Person fully informed of the status of such Third-Party Claim and any related Actions at all stages thereof; (ii) the Parties agree to render to each other such assistance as they may reasonably require of each other and to cooperate in good faith with each other in order to ensure the proper and adequate defense of any Third-Party Claim; (iii) the Parties shall cooperate in such a manner as to preserve in full (to the extent possible) the confidentiality of all confidential information and any attorney-client, work-product, and other legal privileges; and (iv) each Party agrees that it will use reasonable best efforts to avoid production of confidential information (consistent with applicable Law and rules of procedure) and that all communications between any Parties and counsel responsible for or participating in the defense of any Third-Party Claim will (to the extent possible) be made so as to preserve any applicable attorney-client, work-product, and other legal privilege.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to the contrary contained in this Agreement, the Parties agree that if a Third-Party Claim will or may result in a Parent Indemnified Party bringing a claim for indemnification pursuant to this </w:t>
      </w:r>
      <w:r>
        <w:rPr>
          <w:rFonts w:ascii="Times New Roman" w:hAnsi="Times New Roman"/>
          <w:sz w:val="20"/>
          <w:u w:val="single"/>
        </w:rPr>
        <w:t>Article VIII</w:t>
      </w:r>
      <w:r>
        <w:rPr>
          <w:rFonts w:ascii="Times New Roman" w:hAnsi="Times New Roman"/>
          <w:sz w:val="20"/>
        </w:rPr>
        <w:t xml:space="preserve"> that includes or involves a claim against the R&amp;W Insurance Policy (an “</w:t>
      </w:r>
      <w:r>
        <w:rPr>
          <w:rFonts w:ascii="Times New Roman" w:hAnsi="Times New Roman"/>
          <w:sz w:val="20"/>
          <w:u w:val="single"/>
        </w:rPr>
        <w:t>Insured Claim</w:t>
      </w:r>
      <w:r>
        <w:rPr>
          <w:rFonts w:ascii="Times New Roman" w:hAnsi="Times New Roman"/>
          <w:sz w:val="20"/>
        </w:rPr>
        <w:t xml:space="preserve">”), then each applicable insurer and/or its Representatives shall have the right to associate in and control the defense of any such Insured Claim, and the Parties and their Affiliates shall provide each applicable insurer and/or its Representatives such cooperation and information as may be reasonably requested in connection therewith;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in this </w:t>
      </w:r>
      <w:r>
        <w:rPr>
          <w:rFonts w:ascii="Times New Roman" w:hAnsi="Times New Roman"/>
          <w:sz w:val="20"/>
          <w:u w:val="single"/>
        </w:rPr>
        <w:t>Section 8.04(f)</w:t>
      </w:r>
      <w:r>
        <w:rPr>
          <w:rFonts w:ascii="Times New Roman" w:hAnsi="Times New Roman"/>
          <w:sz w:val="20"/>
        </w:rPr>
        <w:t xml:space="preserve"> shall require any waiver of solicitor-client privilege, litigation privilege, or work-product protection. </w:t>
      </w:r>
    </w:p>
    <w:p>
      <w:pPr>
        <w:pStyle w:val="TextBody"/>
        <w:bidi w:val="0"/>
        <w:spacing w:before="240" w:after="0"/>
        <w:jc w:val="left"/>
        <w:rPr>
          <w:rFonts w:ascii="Times New Roman" w:hAnsi="Times New Roman"/>
          <w:sz w:val="20"/>
        </w:rPr>
      </w:pPr>
      <w:r>
        <w:rPr>
          <w:rFonts w:ascii="Times New Roman" w:hAnsi="Times New Roman"/>
          <w:sz w:val="20"/>
        </w:rPr>
        <w:t xml:space="preserve">Section 8.04. </w:t>
      </w:r>
      <w:r>
        <w:rPr>
          <w:rFonts w:ascii="Times New Roman" w:hAnsi="Times New Roman"/>
          <w:sz w:val="20"/>
          <w:u w:val="single"/>
        </w:rPr>
        <w:t>Direct Claims for Indemnification</w:t>
      </w:r>
      <w:r>
        <w:rPr>
          <w:rFonts w:ascii="Times New Roman" w:hAnsi="Times New Roman"/>
          <w:sz w:val="20"/>
        </w:rPr>
        <w:t xml:space="preserve">. If any Indemnified Party makes a claim for indemnification under this </w:t>
      </w:r>
      <w:r>
        <w:rPr>
          <w:rFonts w:ascii="Times New Roman" w:hAnsi="Times New Roman"/>
          <w:sz w:val="20"/>
          <w:u w:val="single"/>
        </w:rPr>
        <w:t>Article VIII</w:t>
      </w:r>
      <w:r>
        <w:rPr>
          <w:rFonts w:ascii="Times New Roman" w:hAnsi="Times New Roman"/>
          <w:sz w:val="20"/>
        </w:rPr>
        <w:t xml:space="preserve"> with respect to any Loss which does not result from a Third-Party Claim (a “</w:t>
      </w:r>
      <w:r>
        <w:rPr>
          <w:rFonts w:ascii="Times New Roman" w:hAnsi="Times New Roman"/>
          <w:sz w:val="20"/>
          <w:u w:val="single"/>
        </w:rPr>
        <w:t>Direct Claim</w:t>
      </w:r>
      <w:r>
        <w:rPr>
          <w:rFonts w:ascii="Times New Roman" w:hAnsi="Times New Roman"/>
          <w:sz w:val="20"/>
        </w:rPr>
        <w:t xml:space="preserve">”), the Indemnified Party shall give the Indemnifying Party prompt written notice thereof. Such written notice shall describe in reasonable detail the facts constituting the basis for such Direct Claim and the amount of potential Losses sought for recovery hereunder to the extent known, provided that the failure to provide such notice will not relieve any Indemnifying Party of any Liability that it may have to any Indemnified Party, except to the extent that the Indemnifying Party demonstrates that the Indemnifying Party has been actually and materially prejudiced by the Indemnified Party’s failure to give such notice. Following receipt of notice of a Direct Claim, an Indemnifying Party shall have thirty (30) days to respond in writing and to investigate such Direct Claim, and the Indemnified Party shall cooperate with such investigation as reasonably requested by the Indemnifying Party. If the Indemnifying Party fails to respond to notice of a Direct Claim within thirty (30) days after receipt thereof, the Indemnifying Party shall be deemed to have accepted such Direct Claim and responsibility therefor. </w:t>
      </w:r>
    </w:p>
    <w:p>
      <w:pPr>
        <w:pStyle w:val="TextBody"/>
        <w:bidi w:val="0"/>
        <w:spacing w:before="240" w:after="0"/>
        <w:jc w:val="left"/>
        <w:rPr>
          <w:rFonts w:ascii="Times New Roman" w:hAnsi="Times New Roman"/>
          <w:sz w:val="20"/>
        </w:rPr>
      </w:pPr>
      <w:r>
        <w:rPr>
          <w:rFonts w:ascii="Times New Roman" w:hAnsi="Times New Roman"/>
          <w:sz w:val="20"/>
        </w:rPr>
        <w:t xml:space="preserve">Section 8.05. </w:t>
      </w:r>
      <w:r>
        <w:rPr>
          <w:rFonts w:ascii="Times New Roman" w:hAnsi="Times New Roman"/>
          <w:sz w:val="20"/>
          <w:u w:val="single"/>
        </w:rPr>
        <w:t>Calculation of Losses; Adjustment to Merger Consideration</w:t>
      </w:r>
      <w:r>
        <w:rPr>
          <w:rFonts w:ascii="Times New Roman" w:hAnsi="Times New Roman"/>
          <w:sz w:val="20"/>
        </w:rPr>
        <w:t xml:space="preserve">. No Indemnified Party shall be entitled to recover for any Losses to the extent that such Losses are or were taken into account in determining the Post-Closing Adjustment Amount pursuant to </w:t>
      </w:r>
      <w:r>
        <w:rPr>
          <w:rFonts w:ascii="Times New Roman" w:hAnsi="Times New Roman"/>
          <w:sz w:val="20"/>
          <w:u w:val="single"/>
        </w:rPr>
        <w:t>Section 2.05</w:t>
      </w:r>
      <w:r>
        <w:rPr>
          <w:rFonts w:ascii="Times New Roman" w:hAnsi="Times New Roman"/>
          <w:sz w:val="20"/>
        </w:rPr>
        <w:t xml:space="preserve">. Further, notwithstanding anything to the contrary herein, no Party shall have any Liability to any Indemnified Party or any other Person for any punitive Losses, except to the extent such Losses are actually awarded to a Person not party to this Agreement. Any and all indemnification payments made pursuant to this </w:t>
      </w:r>
      <w:r>
        <w:rPr>
          <w:rFonts w:ascii="Times New Roman" w:hAnsi="Times New Roman"/>
          <w:sz w:val="20"/>
          <w:u w:val="single"/>
        </w:rPr>
        <w:t>Article VIII</w:t>
      </w:r>
      <w:r>
        <w:rPr>
          <w:rFonts w:ascii="Times New Roman" w:hAnsi="Times New Roman"/>
          <w:sz w:val="20"/>
        </w:rPr>
        <w:t xml:space="preserve"> shall be treated by the Parties as an adjustment to the Merger Consideration unless otherwise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8.06. </w:t>
      </w:r>
      <w:r>
        <w:rPr>
          <w:rFonts w:ascii="Times New Roman" w:hAnsi="Times New Roman"/>
          <w:sz w:val="20"/>
          <w:u w:val="single"/>
        </w:rPr>
        <w:t>Exclusion of Other Remedies</w:t>
      </w:r>
      <w:r>
        <w:rPr>
          <w:rFonts w:ascii="Times New Roman" w:hAnsi="Times New Roman"/>
          <w:sz w:val="20"/>
        </w:rPr>
        <w:t xml:space="preserve">. From and after the Closing, the indemnification terms contained in this </w:t>
      </w:r>
      <w:r>
        <w:rPr>
          <w:rFonts w:ascii="Times New Roman" w:hAnsi="Times New Roman"/>
          <w:sz w:val="20"/>
          <w:u w:val="single"/>
        </w:rPr>
        <w:t>Article VIII</w:t>
      </w:r>
      <w:r>
        <w:rPr>
          <w:rFonts w:ascii="Times New Roman" w:hAnsi="Times New Roman"/>
          <w:sz w:val="20"/>
        </w:rPr>
        <w:t xml:space="preserve"> shall be the sole and exclusive means by which Parent Indemnified Parties and Seller Indemnified Parties may recover for Losses arising out of or related to this Agreement or the Transaction, regardless of any other legal theory under which redress may be sought;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in this </w:t>
      </w:r>
      <w:r>
        <w:rPr>
          <w:rFonts w:ascii="Times New Roman" w:hAnsi="Times New Roman"/>
          <w:sz w:val="20"/>
          <w:u w:val="single"/>
        </w:rPr>
        <w:t>Article VIII</w:t>
      </w:r>
      <w:r>
        <w:rPr>
          <w:rFonts w:ascii="Times New Roman" w:hAnsi="Times New Roman"/>
          <w:sz w:val="20"/>
        </w:rPr>
        <w:t xml:space="preserve"> shall in any way limit (i) the operation of </w:t>
      </w:r>
      <w:r>
        <w:rPr>
          <w:rFonts w:ascii="Times New Roman" w:hAnsi="Times New Roman"/>
          <w:sz w:val="20"/>
          <w:u w:val="single"/>
        </w:rPr>
        <w:t>Section 2.05(c)</w:t>
      </w:r>
      <w:r>
        <w:rPr>
          <w:rFonts w:ascii="Times New Roman" w:hAnsi="Times New Roman"/>
          <w:sz w:val="20"/>
        </w:rPr>
        <w:t xml:space="preserve">, (ii) Parent Indemnified Parties’ rights against the R&amp;W Insurance Policy and to pursue claims thereunder, (iii) the rights of any Party to injunctive or other equitable relief as set forth herein or (iv) the rights of any Parent Indemnified Party or Seller Indemnified Party in respect of Fraud or willful misconduct.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8.07. </w:t>
      </w:r>
      <w:r>
        <w:rPr>
          <w:rFonts w:ascii="Times New Roman" w:hAnsi="Times New Roman"/>
          <w:sz w:val="20"/>
          <w:u w:val="single"/>
        </w:rPr>
        <w:t>Order of Recovery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limitations contained elsewhere in this </w:t>
      </w:r>
      <w:r>
        <w:rPr>
          <w:rFonts w:ascii="Times New Roman" w:hAnsi="Times New Roman"/>
          <w:sz w:val="20"/>
          <w:u w:val="single"/>
        </w:rPr>
        <w:t>Article VIII</w:t>
      </w:r>
      <w:r>
        <w:rPr>
          <w:rFonts w:ascii="Times New Roman" w:hAnsi="Times New Roman"/>
          <w:sz w:val="20"/>
        </w:rPr>
        <w:t xml:space="preserve">, as applicable, upon any Parent Indemnified Party making any claim for indemnification pursuant to </w:t>
      </w:r>
      <w:r>
        <w:rPr>
          <w:rFonts w:ascii="Times New Roman" w:hAnsi="Times New Roman"/>
          <w:sz w:val="20"/>
          <w:u w:val="single"/>
        </w:rPr>
        <w:t>Section 8.02(a)</w:t>
      </w:r>
      <w:r>
        <w:rPr>
          <w:rFonts w:ascii="Times New Roman" w:hAnsi="Times New Roman"/>
          <w:sz w:val="20"/>
        </w:rPr>
        <w:t xml:space="preserve"> (except for Fraud or willful misconduct), if coverage under the R&amp;W Insurance Policy is available, then Parent shall first use its commercially reasonable efforts to pursue recovery for such claim against the R&amp;W Insurance Policy if and to the extent coverage is available thereunder, then seek recovery directly against Seller or Seller Parent. </w:t>
      </w:r>
    </w:p>
    <w:p>
      <w:pPr>
        <w:pStyle w:val="TextBody"/>
        <w:bidi w:val="0"/>
        <w:spacing w:before="240" w:after="0"/>
        <w:jc w:val="left"/>
        <w:rPr>
          <w:rFonts w:ascii="Times New Roman" w:hAnsi="Times New Roman"/>
          <w:sz w:val="20"/>
        </w:rPr>
      </w:pPr>
      <w:r>
        <w:rPr>
          <w:rFonts w:ascii="Times New Roman" w:hAnsi="Times New Roman"/>
          <w:sz w:val="20"/>
        </w:rPr>
        <w:t xml:space="preserve">(b) Subject to the limitations contained elsewhere in this </w:t>
      </w:r>
      <w:r>
        <w:rPr>
          <w:rFonts w:ascii="Times New Roman" w:hAnsi="Times New Roman"/>
          <w:sz w:val="20"/>
          <w:u w:val="single"/>
        </w:rPr>
        <w:t>Article VIII</w:t>
      </w:r>
      <w:r>
        <w:rPr>
          <w:rFonts w:ascii="Times New Roman" w:hAnsi="Times New Roman"/>
          <w:sz w:val="20"/>
        </w:rPr>
        <w:t xml:space="preserve">, as applicable, upon a Parent Indemnified Party making any claim for indemnification pursuant to </w:t>
      </w:r>
      <w:r>
        <w:rPr>
          <w:rFonts w:ascii="Times New Roman" w:hAnsi="Times New Roman"/>
          <w:sz w:val="20"/>
          <w:u w:val="single"/>
        </w:rPr>
        <w:t>Section 8.02(b)</w:t>
      </w:r>
      <w:r>
        <w:rPr>
          <w:rFonts w:ascii="Times New Roman" w:hAnsi="Times New Roman"/>
          <w:sz w:val="20"/>
        </w:rPr>
        <w:t xml:space="preserve">, Parent and such Parent Indemnified Party may, in their sole discretion, seek recovery against Seller or Seller Parent personally and directly. </w:t>
      </w:r>
    </w:p>
    <w:p>
      <w:pPr>
        <w:pStyle w:val="TextBody"/>
        <w:bidi w:val="0"/>
        <w:spacing w:before="240" w:after="0"/>
        <w:jc w:val="left"/>
        <w:rPr>
          <w:rFonts w:ascii="Times New Roman" w:hAnsi="Times New Roman"/>
          <w:sz w:val="20"/>
        </w:rPr>
      </w:pPr>
      <w:r>
        <w:rPr>
          <w:rFonts w:ascii="Times New Roman" w:hAnsi="Times New Roman"/>
          <w:sz w:val="20"/>
        </w:rPr>
        <w:t xml:space="preserve">Section 8.08. </w:t>
      </w:r>
      <w:r>
        <w:rPr>
          <w:rFonts w:ascii="Times New Roman" w:hAnsi="Times New Roman"/>
          <w:sz w:val="20"/>
          <w:u w:val="single"/>
        </w:rPr>
        <w:t>No Circular Recovery or Right of Contribution</w:t>
      </w:r>
      <w:r>
        <w:rPr>
          <w:rFonts w:ascii="Times New Roman" w:hAnsi="Times New Roman"/>
          <w:sz w:val="20"/>
        </w:rPr>
        <w:t xml:space="preserve">. Notwithstanding anything to the contrary in this Agreement, Seller hereby agrees that (a) with respect to any claim brought by a Parent Indemnified Party against Seller relating to this Agreement or the agreements contemplated hereby or the consummation of the transactions contemplated hereunder or thereunder, or that is based on any facts or circumstances that form the basis for an indemnification claim by a Parent Indemnified Party under this Agreement or the agreements contemplated hereby, Seller shall be prohibited from making any reciprocal claim for indemnification or reimbursement against Parent or any of its Affiliates by reason of the fact that Seller was a controlling person, director, equity owner, employee or representative of the Company, and (b) Seller shall have no right of contribution against the Company for any indemnification obligations that Seller may have pursuant to this </w:t>
      </w:r>
      <w:r>
        <w:rPr>
          <w:rFonts w:ascii="Times New Roman" w:hAnsi="Times New Roman"/>
          <w:sz w:val="20"/>
          <w:u w:val="single"/>
        </w:rPr>
        <w:t xml:space="preserve">Article VIII </w:t>
      </w:r>
      <w:r>
        <w:rPr>
          <w:rFonts w:ascii="Times New Roman" w:hAnsi="Times New Roman"/>
          <w:sz w:val="20"/>
        </w:rPr>
        <w:t xml:space="preserve">or any agreement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8.09. </w:t>
      </w:r>
      <w:r>
        <w:rPr>
          <w:rFonts w:ascii="Times New Roman" w:hAnsi="Times New Roman"/>
          <w:sz w:val="20"/>
          <w:u w:val="single"/>
        </w:rPr>
        <w:t>Materiality Qualification; Strict Liability</w:t>
      </w:r>
      <w:r>
        <w:rPr>
          <w:rFonts w:ascii="Times New Roman" w:hAnsi="Times New Roman"/>
          <w:sz w:val="20"/>
        </w:rPr>
        <w:t xml:space="preserve">. For purposes of (a) determining any inaccuracy in or breach of any representation or warranty contained in this Agreement solely as they relate to recovery under the R&amp;W Insurance Policy, and (b) for calculating the amount of Losses to which any Indemnified Parties are entitled pursuant to this </w:t>
      </w:r>
      <w:r>
        <w:rPr>
          <w:rFonts w:ascii="Times New Roman" w:hAnsi="Times New Roman"/>
          <w:sz w:val="20"/>
          <w:u w:val="single"/>
        </w:rPr>
        <w:t>Article VIII</w:t>
      </w:r>
      <w:r>
        <w:rPr>
          <w:rFonts w:ascii="Times New Roman" w:hAnsi="Times New Roman"/>
          <w:sz w:val="20"/>
        </w:rPr>
        <w:t xml:space="preserve">, the terms and phrases “material,” “materially,” “in all material respects,” “Company Material Adverse Effect” and terms and phrases of like import, are to be disregarded (as the context of the sentence wherein such terms and phrases are used may require). The indemnification provisions in this </w:t>
      </w:r>
      <w:r>
        <w:rPr>
          <w:rFonts w:ascii="Times New Roman" w:hAnsi="Times New Roman"/>
          <w:sz w:val="20"/>
          <w:u w:val="single"/>
        </w:rPr>
        <w:t xml:space="preserve">Article VIII </w:t>
      </w:r>
      <w:r>
        <w:rPr>
          <w:rFonts w:ascii="Times New Roman" w:hAnsi="Times New Roman"/>
          <w:sz w:val="20"/>
        </w:rPr>
        <w:t xml:space="preserve">are to be enforceable regardless of whether any Person (including any party hereto) alleges or proves the sole, concurrent, contributory, or comparative negligence of the Person seeking indemnification hereunder or that the Person seeking indemnification hereunder is subject to strict liability for any matter that is the subject of such Person’s claim.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GENERAL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Amendment</w:t>
      </w:r>
      <w:r>
        <w:rPr>
          <w:rFonts w:ascii="Times New Roman" w:hAnsi="Times New Roman"/>
          <w:sz w:val="20"/>
        </w:rPr>
        <w:t xml:space="preserve">. This Agreement may be amended, modified, or supplemented only by a written instrument signed by each of the Parties. No course of dealing between or among the Parties shall be deemed effective to modify, amend, or discharge any part of this Agreement or any rights or obligations of any Party under or by reason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Waiver</w:t>
      </w:r>
      <w:r>
        <w:rPr>
          <w:rFonts w:ascii="Times New Roman" w:hAnsi="Times New Roman"/>
          <w:sz w:val="20"/>
        </w:rPr>
        <w:t xml:space="preserve">. At any time prior to the Effective Time, any Party may, to the extent legally permitted, (a) extend the time for the performance of any of the obligations or other acts of the other Parties, (b) waive any inaccuracies in the representations and warranties of the other Parties contained in this Agreement or in any document delivered pursuant to this Agreement, or (c) waive compliance with any of the agreements or conditions of the other Parties contained in this Agreement. Any such extension or waiver shall be valid only if set forth in an instrument in writing signed on behalf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Party granting such extension or waiver. No failure or delay by any Party in exercising any right, power, or privilege under this Agreement, and no course of dealing between or among the Parties, shall operate as a waiver thereof, nor shall any single or partial exercise of any such right, power, or privilege preclude any other or further exercise thereof or the exercise of any other right, power, or privilege hereunder. No waiver by any Party of any breach of this Agreement, or of any representation, warranty, covenant, or agreement contained herein, shall be deemed to extend to, or to affect in any way any rights arising by virtue of, any prior or subsequent breach hereof or occurrence.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Notices</w:t>
      </w:r>
      <w:r>
        <w:rPr>
          <w:rFonts w:ascii="Times New Roman" w:hAnsi="Times New Roman"/>
          <w:sz w:val="20"/>
        </w:rPr>
        <w:t xml:space="preserve">. Any notice, request, demand, claim or other communication required or permitted to be delivered, given or otherwise provided under this Agreement must be in writing and must be delivered personally, delivered by nationally recognized overnight courier service or sent by email with confirmation of receipt. Any such notice, request, demand, claim or other communication shall be deemed to have been delivered and given (a) when delivered, if delivered personally, (b) the Business Day after it is deposited with such nationally recognized overnight courier service, if sent for overnight delivery by a nationally recognized overnight courier service or (c) the day of sending, if sent by email prior to 5:00 p.m. (Central time) on any Business Day or the next succeeding Business Day if sent by email after 5:00 p.m. (Central time) on any Business Day or on any day other than a Business Day; </w:t>
      </w:r>
      <w:r>
        <w:rPr>
          <w:rFonts w:ascii="Times New Roman" w:hAnsi="Times New Roman"/>
          <w:sz w:val="20"/>
          <w:u w:val="single"/>
        </w:rPr>
        <w:t>provided</w:t>
      </w:r>
      <w:r>
        <w:rPr>
          <w:rFonts w:ascii="Times New Roman" w:hAnsi="Times New Roman"/>
          <w:sz w:val="20"/>
        </w:rPr>
        <w:t xml:space="preserve">, that the sender’s computer generates a confirmation of transmission that such email was sent to the appropriate email address on a specified date: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(prior to the Closing) or Seller, to: </w:t>
      </w:r>
    </w:p>
    <w:p>
      <w:pPr>
        <w:pStyle w:val="TextBody"/>
        <w:bidi w:val="0"/>
        <w:spacing w:before="240" w:after="0"/>
        <w:jc w:val="left"/>
        <w:rPr>
          <w:rFonts w:ascii="Times New Roman" w:hAnsi="Times New Roman"/>
          <w:sz w:val="20"/>
        </w:rPr>
      </w:pPr>
      <w:r>
        <w:rPr>
          <w:rFonts w:ascii="Times New Roman" w:hAnsi="Times New Roman"/>
          <w:sz w:val="20"/>
        </w:rPr>
        <w:t xml:space="preserve">JDH Capital Company </w:t>
      </w:r>
    </w:p>
    <w:p>
      <w:pPr>
        <w:pStyle w:val="TextBody"/>
        <w:bidi w:val="0"/>
        <w:spacing w:before="0" w:after="0"/>
        <w:jc w:val="left"/>
        <w:rPr>
          <w:rFonts w:ascii="Times New Roman" w:hAnsi="Times New Roman"/>
          <w:sz w:val="20"/>
        </w:rPr>
      </w:pPr>
      <w:r>
        <w:rPr>
          <w:rFonts w:ascii="Times New Roman" w:hAnsi="Times New Roman"/>
          <w:sz w:val="20"/>
        </w:rPr>
        <w:t xml:space="preserve">1111 Travis St. </w:t>
      </w:r>
    </w:p>
    <w:p>
      <w:pPr>
        <w:pStyle w:val="TextBody"/>
        <w:bidi w:val="0"/>
        <w:spacing w:before="0" w:after="0"/>
        <w:jc w:val="left"/>
        <w:rPr>
          <w:rFonts w:ascii="Times New Roman" w:hAnsi="Times New Roman"/>
          <w:sz w:val="20"/>
        </w:rPr>
      </w:pPr>
      <w:r>
        <w:rPr>
          <w:rFonts w:ascii="Times New Roman" w:hAnsi="Times New Roman"/>
          <w:sz w:val="20"/>
        </w:rPr>
        <w:t xml:space="preserve">Houston, TX 77002 </w:t>
      </w:r>
    </w:p>
    <w:p>
      <w:pPr>
        <w:pStyle w:val="TextBody"/>
        <w:bidi w:val="0"/>
        <w:spacing w:before="0" w:after="0"/>
        <w:jc w:val="left"/>
        <w:rPr>
          <w:rFonts w:ascii="Times New Roman" w:hAnsi="Times New Roman"/>
          <w:sz w:val="20"/>
        </w:rPr>
      </w:pPr>
      <w:r>
        <w:rPr>
          <w:rFonts w:ascii="Times New Roman" w:hAnsi="Times New Roman"/>
          <w:sz w:val="20"/>
        </w:rPr>
        <w:t xml:space="preserve">Attention:   Michael Fertitta; Ryan Connelly </w:t>
      </w:r>
    </w:p>
    <w:p>
      <w:pPr>
        <w:pStyle w:val="TextBody"/>
        <w:bidi w:val="0"/>
        <w:spacing w:before="0" w:after="0"/>
        <w:jc w:val="left"/>
        <w:rPr>
          <w:rFonts w:ascii="Times New Roman" w:hAnsi="Times New Roman"/>
          <w:sz w:val="20"/>
        </w:rPr>
      </w:pPr>
      <w:r>
        <w:rPr>
          <w:rFonts w:ascii="Times New Roman" w:hAnsi="Times New Roman"/>
          <w:sz w:val="20"/>
        </w:rPr>
        <w:t xml:space="preserve">Email:     [***]; [***]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240" w:after="0"/>
        <w:jc w:val="left"/>
        <w:rPr>
          <w:rFonts w:ascii="Times New Roman" w:hAnsi="Times New Roman"/>
          <w:sz w:val="20"/>
        </w:rPr>
      </w:pPr>
      <w:r>
        <w:rPr>
          <w:rFonts w:ascii="Times New Roman" w:hAnsi="Times New Roman"/>
          <w:sz w:val="20"/>
        </w:rPr>
        <w:t xml:space="preserve">Latham &amp; Watkins LLP </w:t>
      </w:r>
    </w:p>
    <w:p>
      <w:pPr>
        <w:pStyle w:val="TextBody"/>
        <w:bidi w:val="0"/>
        <w:spacing w:before="0" w:after="0"/>
        <w:jc w:val="left"/>
        <w:rPr>
          <w:rFonts w:ascii="Times New Roman" w:hAnsi="Times New Roman"/>
          <w:sz w:val="20"/>
        </w:rPr>
      </w:pPr>
      <w:r>
        <w:rPr>
          <w:rFonts w:ascii="Times New Roman" w:hAnsi="Times New Roman"/>
          <w:sz w:val="20"/>
        </w:rPr>
        <w:t xml:space="preserve">811 Main Street, Suite 3700 </w:t>
      </w:r>
    </w:p>
    <w:p>
      <w:pPr>
        <w:pStyle w:val="TextBody"/>
        <w:bidi w:val="0"/>
        <w:spacing w:before="0" w:after="0"/>
        <w:jc w:val="left"/>
        <w:rPr>
          <w:rFonts w:ascii="Times New Roman" w:hAnsi="Times New Roman"/>
          <w:sz w:val="20"/>
        </w:rPr>
      </w:pPr>
      <w:r>
        <w:rPr>
          <w:rFonts w:ascii="Times New Roman" w:hAnsi="Times New Roman"/>
          <w:sz w:val="20"/>
        </w:rPr>
        <w:t xml:space="preserve">Houston, TX 77002 </w:t>
      </w:r>
    </w:p>
    <w:p>
      <w:pPr>
        <w:pStyle w:val="TextBody"/>
        <w:bidi w:val="0"/>
        <w:spacing w:before="0" w:after="0"/>
        <w:jc w:val="left"/>
        <w:rPr>
          <w:rFonts w:ascii="Times New Roman" w:hAnsi="Times New Roman"/>
          <w:sz w:val="20"/>
        </w:rPr>
      </w:pPr>
      <w:r>
        <w:rPr>
          <w:rFonts w:ascii="Times New Roman" w:hAnsi="Times New Roman"/>
          <w:sz w:val="20"/>
        </w:rPr>
        <w:t xml:space="preserve">Attention: Ryan J. Maierson; Nick S. Dhesi; </w:t>
      </w:r>
    </w:p>
    <w:p>
      <w:pPr>
        <w:pStyle w:val="TextBody"/>
        <w:bidi w:val="0"/>
        <w:spacing w:before="0" w:after="0"/>
        <w:jc w:val="left"/>
        <w:rPr/>
      </w:pPr>
      <w:r>
        <w:rPr/>
        <w:t>  </w:t>
      </w:r>
      <w:r>
        <w:rPr>
          <w:rFonts w:ascii="Times New Roman" w:hAnsi="Times New Roman"/>
          <w:sz w:val="20"/>
        </w:rPr>
        <w:t xml:space="preserve">Bruce C. Herzog </w:t>
      </w:r>
    </w:p>
    <w:p>
      <w:pPr>
        <w:pStyle w:val="TextBody"/>
        <w:bidi w:val="0"/>
        <w:spacing w:before="0" w:after="0"/>
        <w:jc w:val="left"/>
        <w:rPr>
          <w:rFonts w:ascii="Times New Roman" w:hAnsi="Times New Roman"/>
          <w:sz w:val="20"/>
        </w:rPr>
      </w:pPr>
      <w:r>
        <w:rPr>
          <w:rFonts w:ascii="Times New Roman" w:hAnsi="Times New Roman"/>
          <w:sz w:val="20"/>
        </w:rPr>
        <w:t xml:space="preserve">Email: ryan.maierson@lw.com; nick.dhesi@lw.com; </w:t>
      </w:r>
    </w:p>
    <w:p>
      <w:pPr>
        <w:pStyle w:val="TextBody"/>
        <w:bidi w:val="0"/>
        <w:spacing w:before="0" w:after="0"/>
        <w:jc w:val="left"/>
        <w:rPr>
          <w:rFonts w:ascii="Times New Roman" w:hAnsi="Times New Roman"/>
          <w:sz w:val="20"/>
        </w:rPr>
      </w:pPr>
      <w:r>
        <w:rPr>
          <w:rFonts w:ascii="Times New Roman" w:hAnsi="Times New Roman"/>
          <w:sz w:val="20"/>
        </w:rPr>
        <w:t xml:space="preserve">bruce.herzog@lw.com </w:t>
      </w:r>
    </w:p>
    <w:p>
      <w:pPr>
        <w:pStyle w:val="TextBody"/>
        <w:bidi w:val="0"/>
        <w:spacing w:before="240" w:after="0"/>
        <w:jc w:val="left"/>
        <w:rPr>
          <w:rFonts w:ascii="Times New Roman" w:hAnsi="Times New Roman"/>
          <w:sz w:val="20"/>
        </w:rPr>
      </w:pPr>
      <w:r>
        <w:rPr>
          <w:rFonts w:ascii="Times New Roman" w:hAnsi="Times New Roman"/>
          <w:sz w:val="20"/>
        </w:rPr>
        <w:t xml:space="preserve">If to Parent, Merger Sub, or the Company (after the Closing), to: </w:t>
      </w:r>
    </w:p>
    <w:p>
      <w:pPr>
        <w:pStyle w:val="TextBody"/>
        <w:bidi w:val="0"/>
        <w:spacing w:before="240" w:after="0"/>
        <w:jc w:val="left"/>
        <w:rPr>
          <w:rFonts w:ascii="Times New Roman" w:hAnsi="Times New Roman"/>
          <w:sz w:val="20"/>
        </w:rPr>
      </w:pPr>
      <w:r>
        <w:rPr>
          <w:rFonts w:ascii="Times New Roman" w:hAnsi="Times New Roman"/>
          <w:sz w:val="20"/>
        </w:rPr>
        <w:t xml:space="preserve">Smith &amp; Wesson Brands, Inc. </w:t>
      </w:r>
    </w:p>
    <w:p>
      <w:pPr>
        <w:pStyle w:val="TextBody"/>
        <w:bidi w:val="0"/>
        <w:spacing w:before="0" w:after="0"/>
        <w:jc w:val="left"/>
        <w:rPr>
          <w:rFonts w:ascii="Times New Roman" w:hAnsi="Times New Roman"/>
          <w:sz w:val="20"/>
        </w:rPr>
      </w:pPr>
      <w:r>
        <w:rPr>
          <w:rFonts w:ascii="Times New Roman" w:hAnsi="Times New Roman"/>
          <w:sz w:val="20"/>
        </w:rPr>
        <w:t xml:space="preserve">1852 Proffitt Springs Road </w:t>
      </w:r>
    </w:p>
    <w:p>
      <w:pPr>
        <w:pStyle w:val="TextBody"/>
        <w:bidi w:val="0"/>
        <w:spacing w:before="0" w:after="0"/>
        <w:jc w:val="left"/>
        <w:rPr>
          <w:rFonts w:ascii="Times New Roman" w:hAnsi="Times New Roman"/>
          <w:sz w:val="20"/>
        </w:rPr>
      </w:pPr>
      <w:r>
        <w:rPr>
          <w:rFonts w:ascii="Times New Roman" w:hAnsi="Times New Roman"/>
          <w:sz w:val="20"/>
        </w:rPr>
        <w:t xml:space="preserve">Maryville, Tennessee 37801 </w:t>
      </w:r>
    </w:p>
    <w:p>
      <w:pPr>
        <w:pStyle w:val="TextBody"/>
        <w:bidi w:val="0"/>
        <w:spacing w:before="0" w:after="0"/>
        <w:jc w:val="left"/>
        <w:rPr>
          <w:rFonts w:ascii="Times New Roman" w:hAnsi="Times New Roman"/>
          <w:sz w:val="20"/>
        </w:rPr>
      </w:pPr>
      <w:r>
        <w:rPr>
          <w:rFonts w:ascii="Times New Roman" w:hAnsi="Times New Roman"/>
          <w:sz w:val="20"/>
        </w:rPr>
        <w:t xml:space="preserve">Attention:   Kevin A. Maxwell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240" w:after="0"/>
        <w:jc w:val="left"/>
        <w:rPr>
          <w:rFonts w:ascii="Times New Roman" w:hAnsi="Times New Roman"/>
          <w:sz w:val="20"/>
        </w:rPr>
      </w:pPr>
      <w:r>
        <w:rPr>
          <w:rFonts w:ascii="Times New Roman" w:hAnsi="Times New Roman"/>
          <w:sz w:val="20"/>
        </w:rPr>
        <w:t xml:space="preserve">Bass, Berry &amp; Sims PLC </w:t>
      </w:r>
    </w:p>
    <w:p>
      <w:pPr>
        <w:pStyle w:val="TextBody"/>
        <w:bidi w:val="0"/>
        <w:spacing w:before="0" w:after="0"/>
        <w:jc w:val="left"/>
        <w:rPr>
          <w:rFonts w:ascii="Times New Roman" w:hAnsi="Times New Roman"/>
          <w:sz w:val="20"/>
        </w:rPr>
      </w:pPr>
      <w:r>
        <w:rPr>
          <w:rFonts w:ascii="Times New Roman" w:hAnsi="Times New Roman"/>
          <w:sz w:val="20"/>
        </w:rPr>
        <w:t xml:space="preserve">21 Platform Way South, Suite 3500 </w:t>
      </w:r>
    </w:p>
    <w:p>
      <w:pPr>
        <w:pStyle w:val="TextBody"/>
        <w:bidi w:val="0"/>
        <w:spacing w:before="0" w:after="0"/>
        <w:jc w:val="left"/>
        <w:rPr>
          <w:rFonts w:ascii="Times New Roman" w:hAnsi="Times New Roman"/>
          <w:sz w:val="20"/>
        </w:rPr>
      </w:pPr>
      <w:r>
        <w:rPr>
          <w:rFonts w:ascii="Times New Roman" w:hAnsi="Times New Roman"/>
          <w:sz w:val="20"/>
        </w:rPr>
        <w:t xml:space="preserve">Nashville, Tennessee 37203 </w:t>
      </w:r>
    </w:p>
    <w:p>
      <w:pPr>
        <w:pStyle w:val="TextBody"/>
        <w:bidi w:val="0"/>
        <w:spacing w:before="0" w:after="0"/>
        <w:jc w:val="left"/>
        <w:rPr>
          <w:rFonts w:ascii="Times New Roman" w:hAnsi="Times New Roman"/>
          <w:sz w:val="20"/>
        </w:rPr>
      </w:pPr>
      <w:r>
        <w:rPr>
          <w:rFonts w:ascii="Times New Roman" w:hAnsi="Times New Roman"/>
          <w:sz w:val="20"/>
        </w:rPr>
        <w:t xml:space="preserve">Attention:   Tatjana Paterno; Tyler Huseman </w:t>
      </w:r>
    </w:p>
    <w:p>
      <w:pPr>
        <w:pStyle w:val="TextBody"/>
        <w:bidi w:val="0"/>
        <w:spacing w:before="0" w:after="0"/>
        <w:jc w:val="left"/>
        <w:rPr>
          <w:rFonts w:ascii="Times New Roman" w:hAnsi="Times New Roman"/>
          <w:sz w:val="20"/>
        </w:rPr>
      </w:pPr>
      <w:r>
        <w:rPr>
          <w:rFonts w:ascii="Times New Roman" w:hAnsi="Times New Roman"/>
          <w:sz w:val="20"/>
        </w:rPr>
        <w:t xml:space="preserve">Email:     tpaterno@bassberry.com; tyler.huseman@bassberry.com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Party hereto may, by notice to the other Parties, change the address and identity of the Person to which such notices and copies of such notices are to be given. The Parties agree that nothing in this Agreement shall affect each other Party’s right to serve process in any other manner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Headings</w:t>
      </w:r>
      <w:r>
        <w:rPr>
          <w:rFonts w:ascii="Times New Roman" w:hAnsi="Times New Roman"/>
          <w:sz w:val="20"/>
        </w:rPr>
        <w:t xml:space="preserve">. The article, section and paragraph headings contained in this Agreement, including in the table of contents of this Agreement, are for reference purposes only and shall not affect in any way the meaning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Interpretation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Words in the singular shall be held to include the plural and vice versa and words of one gender shall be held to include any other gender as the context requires. The terms “hereof”, “herein”, “herewith” and words of similar import, unless otherwise stated, shall be construed to refer to this Agreement as a whole (including all of the Annexes, Exhibits and Schedules hereto) and not to any particular provision of this Agreement. Article, Section, Annex, Exhibit or Schedule references are to the articles, sections, annexes, exhibits and schedules of or to this Agreement unless otherwise specified. Any capitalized terms used in any Schedule to this Agreement or to any other Transaction Document but not otherwise defined therein shall have the meaning as defined in this Agreement or the other Transaction Document to which such Schedule is attached, as applicable. Any definition of or reference to any agreement, instrument or other document herein (including any reference herein to this Agreement) shall, unless otherwise stated, be construed as referring to such agreement, instrument or other document as from time to time amended, restated, supplemented or otherwise modified (subject to any restrictions on such amendments, supplements or modifications set forth herein). Any definition of or reference to any Law shall be construed as referring to such Law as from time to time amended, restated, supplemented or otherwise modified (including by succession of comparable successor Laws), and all references to any statute shall be construed as referring to all rules, regulations, rulings and official interpretations promulgated or issued thereunder. The word “including” and words of similar import when used in this Agreement shall mean “including, without limitation”, unless otherwise specified. The word “or” shall not be exclusive. The word “extent” in the phrase “to the extent” shall mean the degree to which a subject or other thing extends, and such phrase shall not mean simply “if”. All references to “$”, dollar amounts or otherwise expressed in an amount of currency are to be exclusively interpreted as references to United States dollars unless expressly indicated otherwise. In the event that an ambiguity or question of intent or interpretation arises, this Agreement shall be construed as if drafted jointly by the Parties, and no presumption or burden of proof shall arise favoring or disfavoring any Party hereto by virtue of the authorship of any provisions hereof. References herein to a day or number of days shall refer to calendar days, unless such reference is specifically to a “Business Day” and the terms “year” and “years” shall refer to calendar years, unless such reference is specifically to a fiscal year. When calculating the period of time before which, within which or following which any act is to be done or step is to be taken pursuant to this Agreement, if the last day of such period is not a Business Day, the period shall end on or such act or step shall be required to be taken on or by, as applicable, the next succeeding Business Day. With respect to the determination of any period of time, the word “from” means “from and including” and the words “to” and “until” each means “to but excluding”. </w:t>
      </w:r>
    </w:p>
    <w:p>
      <w:pPr>
        <w:pStyle w:val="TextBody"/>
        <w:bidi w:val="0"/>
        <w:spacing w:before="240" w:after="0"/>
        <w:jc w:val="left"/>
        <w:rPr>
          <w:rFonts w:ascii="Times New Roman" w:hAnsi="Times New Roman"/>
          <w:sz w:val="20"/>
        </w:rPr>
      </w:pPr>
      <w:r>
        <w:rPr>
          <w:rFonts w:ascii="Times New Roman" w:hAnsi="Times New Roman"/>
          <w:sz w:val="20"/>
        </w:rPr>
        <w:t>(b) The words “made available to the Company” and words of similar import refer to documents delivered in person or electronically to the Company or its respective Representatives. The words “made available to Parent”, “made available to Merger Sub” and words of similar import refer to documents posted to the “Project Tristar” virtual data room hosted by Datasite (the “</w:t>
      </w:r>
      <w:r>
        <w:rPr>
          <w:rFonts w:ascii="Times New Roman" w:hAnsi="Times New Roman"/>
          <w:sz w:val="20"/>
          <w:u w:val="single"/>
        </w:rPr>
        <w:t>Virtual Data Room</w:t>
      </w:r>
      <w:r>
        <w:rPr>
          <w:rFonts w:ascii="Times New Roman" w:hAnsi="Times New Roman"/>
          <w:sz w:val="20"/>
        </w:rPr>
        <w:t xml:space="preserve">”) no later than 12:01 a.m. Central time on the date which is two (2) Business Days prior to the date hereof and has been made fully available and accessible on a continuous basis by or on behalf of the Company for review therein by Parent and its Representatives since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9.06. </w:t>
      </w:r>
      <w:r>
        <w:rPr>
          <w:rFonts w:ascii="Times New Roman" w:hAnsi="Times New Roman"/>
          <w:sz w:val="20"/>
          <w:u w:val="single"/>
        </w:rPr>
        <w:t>Disclosure Letter</w:t>
      </w:r>
      <w:r>
        <w:rPr>
          <w:rFonts w:ascii="Times New Roman" w:hAnsi="Times New Roman"/>
          <w:sz w:val="20"/>
        </w:rPr>
        <w:t xml:space="preserve">. The Company Disclosure Letter has been arranged, for purposes of convenience only, as separate schedules corresponding to the subsections of this Agreement. The representations and warranties contained in </w:t>
      </w:r>
      <w:r>
        <w:rPr>
          <w:rFonts w:ascii="Times New Roman" w:hAnsi="Times New Roman"/>
          <w:sz w:val="20"/>
          <w:u w:val="single"/>
        </w:rPr>
        <w:t>Article IV</w:t>
      </w:r>
      <w:r>
        <w:rPr>
          <w:rFonts w:ascii="Times New Roman" w:hAnsi="Times New Roman"/>
          <w:sz w:val="20"/>
        </w:rPr>
        <w:t xml:space="preserve"> of this Agreement are subject to (i) the exceptions and disclosures set forth in the part of the Company Disclosure Letter corresponding to the particular subsection of </w:t>
      </w:r>
      <w:r>
        <w:rPr>
          <w:rFonts w:ascii="Times New Roman" w:hAnsi="Times New Roman"/>
          <w:sz w:val="20"/>
          <w:u w:val="single"/>
        </w:rPr>
        <w:t>Article IV</w:t>
      </w:r>
      <w:r>
        <w:rPr>
          <w:rFonts w:ascii="Times New Roman" w:hAnsi="Times New Roman"/>
          <w:sz w:val="20"/>
        </w:rPr>
        <w:t xml:space="preserve"> in which such representation and warranty appears; (ii) any exceptions or disclosures explicitly cross-referenced in such part of the Company Disclosure Letter by reference to another part of the Company Disclosure Letter; and (iii) any exception or disclosure set forth in any other part of the Company Disclosure Letter to the extent it is reasonably apparent on its face that such exception or disclosure qualifies such representation and warranty. No reference to or disclosure of any item or other matter in the Company Disclosure Letter (x) shall be construed as an admission or indication that such item or other matter is material or has resulted in or would result in a Company Material Adverse Effect (nor shall it establish a standard of materiality for any purpose whatsoever) or that such item or other matter is required to be referred to or disclosed in the Company Disclosure Letter, or (y) shall be deemed to expand in any way the scope or effect of any such representations, warranties or covenants. The specification of any dollar amount or quantity in any representation or warranty contained in this Agreement, or the inclusion of any specific item in the Company Disclosure Letter, is not intended to imply that such amount, quantity, or a higher or lower amount or quantity, or the item so included or any other item, is or is not material, and no Party shall use the fact of the setting forth of any such amount, quantity, or the inclusion of any such item in any dispute or controversy between the Parties as to whether any obligation, item or matter not described herein or included in the Company Disclosure Letter is or is not material for purposes of this Agreement. Headings and introductory language have been inserted in the Company Disclosure Letter merely for convenience of reference and shall not have the effect of amending or changing the express description of the schedules as set forth in this Agreement. The information set forth in the Company Disclosure Letter is disclosed solely for the purposes of this Agreement, and no information set forth therein shall be deemed to be an admission by any Party hereto to any third party of any matter whatsoever, including of any violation of applicable Law or breach of any agreement. The Company Disclosure Letter and the information and disclosures contained therein are intended only to qualify and limit the representations, warranties and covenants of the Company contained in this Agreement. Such additional matters are set forth for informational purposes and do not necessarily include other matters of a similar nature. </w:t>
      </w:r>
    </w:p>
    <w:p>
      <w:pPr>
        <w:pStyle w:val="TextBody"/>
        <w:bidi w:val="0"/>
        <w:spacing w:before="240" w:after="0"/>
        <w:jc w:val="left"/>
        <w:rPr>
          <w:rFonts w:ascii="Times New Roman" w:hAnsi="Times New Roman"/>
          <w:sz w:val="20"/>
        </w:rPr>
      </w:pPr>
      <w:r>
        <w:rPr>
          <w:rFonts w:ascii="Times New Roman" w:hAnsi="Times New Roman"/>
          <w:sz w:val="20"/>
        </w:rPr>
        <w:t xml:space="preserve">Section 9.07. </w:t>
      </w:r>
      <w:r>
        <w:rPr>
          <w:rFonts w:ascii="Times New Roman" w:hAnsi="Times New Roman"/>
          <w:sz w:val="20"/>
          <w:u w:val="single"/>
        </w:rPr>
        <w:t>Severability</w:t>
      </w:r>
      <w:r>
        <w:rPr>
          <w:rFonts w:ascii="Times New Roman" w:hAnsi="Times New Roman"/>
          <w:sz w:val="20"/>
        </w:rPr>
        <w:t xml:space="preserve">. If any provision of this Agreement or the application thereof to any Person or circumstance is determined by a court of competent jurisdiction to be invalid, void or unenforceable, the remaining provisions hereof, or the application of such provision to Persons or circumstances or in jurisdictions other than those as to which it has been held invalid, void or unenforceable, shall remain in full force and effect and shall in no way be affected, impaired or invalidated thereby, so long as the economic or legal substance of the Transactions is not affected in any manner materially adverse to any Party hereto. Upon any such determination, any such provision, to the extent determined to be invalid, void or unenforceable, shall be deemed replaced by a provision that such court determines is valid and enforceable and that comes closest to expressing the intention of the invalid, void or unenforceable provision. </w:t>
      </w:r>
    </w:p>
    <w:p>
      <w:pPr>
        <w:pStyle w:val="TextBody"/>
        <w:bidi w:val="0"/>
        <w:spacing w:before="240" w:after="0"/>
        <w:jc w:val="left"/>
        <w:rPr>
          <w:rFonts w:ascii="Times New Roman" w:hAnsi="Times New Roman"/>
          <w:sz w:val="20"/>
        </w:rPr>
      </w:pPr>
      <w:r>
        <w:rPr>
          <w:rFonts w:ascii="Times New Roman" w:hAnsi="Times New Roman"/>
          <w:sz w:val="20"/>
        </w:rPr>
        <w:t xml:space="preserve">Section 9.08. </w:t>
      </w:r>
      <w:r>
        <w:rPr>
          <w:rFonts w:ascii="Times New Roman" w:hAnsi="Times New Roman"/>
          <w:sz w:val="20"/>
          <w:u w:val="single"/>
        </w:rPr>
        <w:t>Counterparts</w:t>
      </w:r>
      <w:r>
        <w:rPr>
          <w:rFonts w:ascii="Times New Roman" w:hAnsi="Times New Roman"/>
          <w:sz w:val="20"/>
        </w:rPr>
        <w:t xml:space="preserve">. This Agreement may be executed in any number of counterparts, each of which will be deemed an original, but all of which together will constitute but one and the same instrument. This Agreement will become effective when duly executed counterparts have been signed by each Party and delivered to the other Parties, it being understood that all Parties need not sign the same counterpart. Counterpart signature pages to this Agreement may be delivered by electronic delivery (i.e., by email of a PDF signature page, DocuSign, or by any other electronic signature complying with the United States federal ESIGN Act of 2000, whether delivered by email or other transmission method) and each such counterpart signature page will constitute an original and shall be deemed binding for all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9.09. </w:t>
      </w:r>
      <w:r>
        <w:rPr>
          <w:rFonts w:ascii="Times New Roman" w:hAnsi="Times New Roman"/>
          <w:sz w:val="20"/>
          <w:u w:val="single"/>
        </w:rPr>
        <w:t>Entire Agreement; No Third-Party Beneficiaries</w:t>
      </w:r>
      <w:r>
        <w:rPr>
          <w:rFonts w:ascii="Times New Roman" w:hAnsi="Times New Roman"/>
          <w:sz w:val="20"/>
        </w:rPr>
        <w:t xml:space="preserve">. This Agreement, taken together with the Company Disclosure Letter, the other Transaction Documents and the Confidentiality Agreement, and any Annexes, Exhibits and Schedules hereto and thereto, (i) contain the entire agreement between the Parties and parties thereto with respect to the subject matter hereof and thereof and supersede all previous agreements, negotiations, discussions, writings, understandings, commitments and conversations with respect to such subject matter, and there are no agreements or understandings between such parties with respect to the subject matter hereof or thereof other than those set forth or referred to herein or therein and (ii) are not intended to confer upon any Person other than the Parties and parties thereto any rights or remedies. </w:t>
      </w:r>
    </w:p>
    <w:p>
      <w:pPr>
        <w:pStyle w:val="TextBody"/>
        <w:bidi w:val="0"/>
        <w:spacing w:before="240" w:after="0"/>
        <w:jc w:val="left"/>
        <w:rPr>
          <w:rFonts w:ascii="Times New Roman" w:hAnsi="Times New Roman"/>
          <w:sz w:val="20"/>
        </w:rPr>
      </w:pPr>
      <w:r>
        <w:rPr>
          <w:rFonts w:ascii="Times New Roman" w:hAnsi="Times New Roman"/>
          <w:sz w:val="20"/>
        </w:rPr>
        <w:t xml:space="preserve">Section 9.10. </w:t>
      </w:r>
      <w:r>
        <w:rPr>
          <w:rFonts w:ascii="Times New Roman" w:hAnsi="Times New Roman"/>
          <w:sz w:val="20"/>
          <w:u w:val="single"/>
        </w:rPr>
        <w:t>Governing Law</w:t>
      </w:r>
      <w:r>
        <w:rPr>
          <w:rFonts w:ascii="Times New Roman" w:hAnsi="Times New Roman"/>
          <w:sz w:val="20"/>
        </w:rPr>
        <w:t xml:space="preserve">. This Agreement and all disputes, controversies or other Actions arising out of or relating to this Agreement or the Transactions, including matters of validity, construction, effect, performance and remedies, shall be governed by, and construed in accordance with, the Laws of the State of Delaware, without regard to any conflicts of law principles that would result in the application of the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Section 9.11. </w:t>
      </w:r>
      <w:r>
        <w:rPr>
          <w:rFonts w:ascii="Times New Roman" w:hAnsi="Times New Roman"/>
          <w:sz w:val="20"/>
          <w:u w:val="single"/>
        </w:rPr>
        <w:t>Assignment</w:t>
      </w:r>
      <w:r>
        <w:rPr>
          <w:rFonts w:ascii="Times New Roman" w:hAnsi="Times New Roman"/>
          <w:sz w:val="20"/>
        </w:rPr>
        <w:t xml:space="preserve">. Neither this Agreement nor any of the rights, interests or obligations under this Agreement shall be assigned, in whole or in part, by operation of Law or otherwise by any Party hereto without the prior written consent of each other Party hereto; provided, however, that Parent may assign (or pledge as security for any financing or assign to any lender as collateral security) any of its rights under this Agreement, in whole or in part, without the prior written consent of Seller, to one or more of their Affiliates at any time, </w:t>
      </w:r>
      <w:r>
        <w:rPr>
          <w:rFonts w:ascii="Times New Roman" w:hAnsi="Times New Roman"/>
          <w:sz w:val="20"/>
          <w:u w:val="single"/>
        </w:rPr>
        <w:t>provided</w:t>
      </w:r>
      <w:r>
        <w:rPr>
          <w:rFonts w:ascii="Times New Roman" w:hAnsi="Times New Roman"/>
          <w:sz w:val="20"/>
        </w:rPr>
        <w:t xml:space="preserve">, that such assignment (or pledge) (a) does not, and would not be reasonably expected to, prevent or impede the Intended Tax Treatment and (b) shall not relieve Parent of any of its obligations hereunder. Any purported assignment without such consent shall be void. Subject to the two immediately preceding sentences, this Agreement will be binding upon, inure to the benefit of and be enforceable by the Parties and their respective successors and permitted assigns. No assignment permitted by this </w:t>
      </w:r>
      <w:r>
        <w:rPr>
          <w:rFonts w:ascii="Times New Roman" w:hAnsi="Times New Roman"/>
          <w:sz w:val="20"/>
          <w:u w:val="single"/>
        </w:rPr>
        <w:t>Section 9.11</w:t>
      </w:r>
      <w:r>
        <w:rPr>
          <w:rFonts w:ascii="Times New Roman" w:hAnsi="Times New Roman"/>
          <w:sz w:val="20"/>
        </w:rPr>
        <w:t xml:space="preserve"> shall release the assigning party from Liability for the full performance of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9.12. </w:t>
      </w:r>
      <w:r>
        <w:rPr>
          <w:rFonts w:ascii="Times New Roman" w:hAnsi="Times New Roman"/>
          <w:sz w:val="20"/>
          <w:u w:val="single"/>
        </w:rPr>
        <w:t>Specific Performance.</w:t>
      </w:r>
      <w:r>
        <w:rPr>
          <w:rFonts w:ascii="Times New Roman" w:hAnsi="Times New Roman"/>
          <w:sz w:val="20"/>
        </w:rPr>
        <w:t xml:space="preserve"> Notwithstanding anything in this Agreement to the contrary, the Parties agree that irreparable damage would occur in the event that any of the obligations, undertakings, covenants or agreements contained in this Agreement were not performed in accordance with their specific terms or were otherwise breached. Accordingly, it is agreed that the Parties shall be entitled to an injunction or injunctions to prevent breaches of this Agreement, without any bond or other security being required, and to enforce specifically the terms and provisions of this Agreement by a decree of specific performance without the necessity of proving the inadequacy of money damages as a remedy, this being in addition to any other remedy to which the Parties are entitled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9.13. </w:t>
      </w:r>
      <w:r>
        <w:rPr>
          <w:rFonts w:ascii="Times New Roman" w:hAnsi="Times New Roman"/>
          <w:sz w:val="20"/>
          <w:u w:val="single"/>
        </w:rPr>
        <w:t>Jurisdiction; Venue; Service of Process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Jurisdiction</w:t>
      </w:r>
      <w:r>
        <w:rPr>
          <w:rFonts w:ascii="Times New Roman" w:hAnsi="Times New Roman"/>
          <w:sz w:val="20"/>
        </w:rPr>
        <w:t>. Each of the Parties, by its execution hereof, hereby (i) irrevocably submits to the exclusive jurisdiction of the Court of Chancery of the State of Delaware (or if, but only if, such court declines to accept jurisdiction, the Superior Court of the State of Delaware or the United States District Court for the District of Delaware) (the “</w:t>
      </w:r>
      <w:r>
        <w:rPr>
          <w:rFonts w:ascii="Times New Roman" w:hAnsi="Times New Roman"/>
          <w:sz w:val="20"/>
          <w:u w:val="single"/>
        </w:rPr>
        <w:t>Chosen Courts</w:t>
      </w:r>
      <w:r>
        <w:rPr>
          <w:rFonts w:ascii="Times New Roman" w:hAnsi="Times New Roman"/>
          <w:sz w:val="20"/>
        </w:rPr>
        <w:t xml:space="preserve">”) for the purpose of any Action among any of the Parties relating to or arising in whole or in part under or in connection with this Agreement, any Transaction Document or the Transactions, or the negotiation, terms, and performance hereof and thereof, (ii) waives to the extent not prohibited by applicable Law, and agrees not to assert, by way of motion, as a defense or otherwise, in any such Action, any claim that it is not subject personally to the jurisdiction of the Chosen Courts, that any such Action brought in one of the Chosen Courts should be dismissed on grounds of </w:t>
      </w:r>
      <w:r>
        <w:rPr>
          <w:rFonts w:ascii="Times New Roman" w:hAnsi="Times New Roman"/>
          <w:i/>
          <w:sz w:val="20"/>
        </w:rPr>
        <w:t>forum non conveniens</w:t>
      </w:r>
      <w:r>
        <w:rPr>
          <w:rFonts w:ascii="Times New Roman" w:hAnsi="Times New Roman"/>
          <w:sz w:val="20"/>
        </w:rPr>
        <w:t xml:space="preserve">, should be transferred or removed to any court other than one of the Chosen Courts, or should be stayed by reason of the pendency of some other Action in any other court other than one of the Chosen Courts or that this Agreement, any Transaction Document or the subject matter hereof or thereof may not be enforced in or by such court, and (iii) agrees not to commence any such Action other than before one of the Chosen Courts. Notwithstanding the foregoing, a Party may commence any Action in a court other than the Chosen Courts solely for the purpose of enforcing an order or judgment issued by one of the Chosen Courts.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Venue</w:t>
      </w:r>
      <w:r>
        <w:rPr>
          <w:rFonts w:ascii="Times New Roman" w:hAnsi="Times New Roman"/>
          <w:sz w:val="20"/>
        </w:rPr>
        <w:t xml:space="preserve">. Each of the Parties agrees that for any Action among any of the Parties relating to or arising in whole or in part under or in connection with this Agreement, any Transaction Document or the Transactions, or the negotiation, terms, and performance hereof and thereof, such Party shall bring such Action only in the Chosen Courts. Each Party further waives and agrees not to assert any claim that venue should properly lie in any other location within the selected jurisdiction.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Service of Process</w:t>
      </w:r>
      <w:r>
        <w:rPr>
          <w:rFonts w:ascii="Times New Roman" w:hAnsi="Times New Roman"/>
          <w:sz w:val="20"/>
        </w:rPr>
        <w:t xml:space="preserve">. Each of the Parties hereby (i) consents to service of process in any Action among any of the Parties relating to or arising in whole or in part under or in connection with this Agreement, any Transaction Document or the Transactions, or the negotiation, terms, and performance hereof and thereof, in any manner permitted by Delaware law, (ii) agrees that service of process made in accordance with </w:t>
      </w:r>
      <w:r>
        <w:rPr>
          <w:rFonts w:ascii="Times New Roman" w:hAnsi="Times New Roman"/>
          <w:sz w:val="20"/>
          <w:u w:val="single"/>
        </w:rPr>
        <w:t>clause (i)</w:t>
      </w:r>
      <w:r>
        <w:rPr>
          <w:rFonts w:ascii="Times New Roman" w:hAnsi="Times New Roman"/>
          <w:sz w:val="20"/>
        </w:rPr>
        <w:t xml:space="preserve"> or made by registered or certified mail, return receipt requested, at its address specified pursuant to </w:t>
      </w:r>
      <w:r>
        <w:rPr>
          <w:rFonts w:ascii="Times New Roman" w:hAnsi="Times New Roman"/>
          <w:sz w:val="20"/>
          <w:u w:val="single"/>
        </w:rPr>
        <w:t>Section 9.03</w:t>
      </w:r>
      <w:r>
        <w:rPr>
          <w:rFonts w:ascii="Times New Roman" w:hAnsi="Times New Roman"/>
          <w:sz w:val="20"/>
        </w:rPr>
        <w:t xml:space="preserve">, will constitute good and valid service of process in any such Action, and (iii) waives (to the extent permitted by applicable Law) and agrees not to assert (by way of motion, as a defense, or otherwise) in any such Action any claim that service of process made in accordance with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clause (ii)</w:t>
      </w:r>
      <w:r>
        <w:rPr>
          <w:rFonts w:ascii="Times New Roman" w:hAnsi="Times New Roman"/>
          <w:sz w:val="20"/>
        </w:rPr>
        <w:t xml:space="preserve"> does not constitute good and valid service of process. </w:t>
      </w:r>
    </w:p>
    <w:p>
      <w:pPr>
        <w:pStyle w:val="TextBody"/>
        <w:bidi w:val="0"/>
        <w:spacing w:before="240" w:after="0"/>
        <w:jc w:val="left"/>
        <w:rPr>
          <w:rFonts w:ascii="Times New Roman" w:hAnsi="Times New Roman"/>
          <w:sz w:val="20"/>
        </w:rPr>
      </w:pPr>
      <w:r>
        <w:rPr>
          <w:rFonts w:ascii="Times New Roman" w:hAnsi="Times New Roman"/>
          <w:sz w:val="20"/>
        </w:rPr>
        <w:t xml:space="preserve">Section 9.14. </w:t>
      </w:r>
      <w:r>
        <w:rPr>
          <w:rFonts w:ascii="Times New Roman" w:hAnsi="Times New Roman"/>
          <w:sz w:val="20"/>
          <w:u w:val="single"/>
        </w:rPr>
        <w:t>Waiver of Jury Trial</w:t>
      </w:r>
      <w:r>
        <w:rPr>
          <w:rFonts w:ascii="Times New Roman" w:hAnsi="Times New Roman"/>
          <w:sz w:val="20"/>
        </w:rPr>
        <w:t xml:space="preserve">. TO THE MAXIMUM EXTENT PERMITTED BY APPLICABLE LAW, THE PARTIES HEREBY WAIVE, AND COVENANT THAT THEY WILL NOT ASSERT (WHETHER AS PLAINTIFF, DEFENDANT OR OTHERWISE), ANY RIGHT TO TRIAL BY JURY IN ANY ACTION ARISING IN WHOLE OR IN PART UNDER OR IN CONNECTION WITH THIS AGREEMENT, ANY TRANSACTION DOCUMENT OR ANY OF THE TRANSACTIONS, OR THE NEGOTIATION, TERMS, AND PERFORMANCE HEREOF AND THEREOF, WHETHER NOW EXISTING OR HEREAFTER ARISING, AND WHETHER SOUNDING IN CONTRACT, TORT OR OTHERWISE. THE PARTIES AGREE THAT ANY OF THEM MAY FILE A COPY OF THIS PARAGRAPH WITH ANY COURT AS WRITTEN EVIDENCE OF THE KNOWING, VOLUNTARY AND BARGAINED-FOR AGREEMENT AMONG THE PARTIES IRREVOCABLY TO WAIVE THEIR RESPECTIVE RIGHTS TO TRIAL BY JURY IN ANY ACTION WHATSOEVER BETWEEN OR AMONG THEM RELATING TO THIS AGREEMENT, ANY TRANSACTION DOCUMENT OR ANY OF THE TRANSACTIONS, OR THE NEGOTIATION, TERMS, AND PERFORMANCE HEREOF AND THEREOF, AND THAT SUCH ACTIONS WILL INSTEAD BE TRIED IN A COURT OF COMPETENT JURISDICTION BY A JUDGE SITTING WITHOUT A JURY. </w:t>
      </w:r>
    </w:p>
    <w:p>
      <w:pPr>
        <w:pStyle w:val="TextBody"/>
        <w:bidi w:val="0"/>
        <w:spacing w:before="240" w:after="0"/>
        <w:jc w:val="left"/>
        <w:rPr>
          <w:rFonts w:ascii="Times New Roman" w:hAnsi="Times New Roman"/>
          <w:sz w:val="20"/>
        </w:rPr>
      </w:pPr>
      <w:r>
        <w:rPr>
          <w:rFonts w:ascii="Times New Roman" w:hAnsi="Times New Roman"/>
          <w:sz w:val="20"/>
        </w:rPr>
        <w:t xml:space="preserve">Section 9.15.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9.16.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Agreement: </w:t>
      </w:r>
    </w:p>
    <w:p>
      <w:pPr>
        <w:pStyle w:val="TextBody"/>
        <w:bidi w:val="0"/>
        <w:spacing w:before="240" w:after="0"/>
        <w:jc w:val="left"/>
        <w:rPr/>
      </w:pPr>
      <w:r>
        <w:rPr/>
        <w:t>“</w:t>
      </w:r>
      <w:r>
        <w:rPr>
          <w:rFonts w:ascii="Times New Roman" w:hAnsi="Times New Roman"/>
          <w:sz w:val="20"/>
          <w:u w:val="single"/>
        </w:rPr>
        <w:t>ACA</w:t>
      </w:r>
      <w:r>
        <w:rPr>
          <w:rFonts w:ascii="Times New Roman" w:hAnsi="Times New Roman"/>
          <w:sz w:val="20"/>
        </w:rPr>
        <w:t xml:space="preserve">” has the meaning set forth in </w:t>
      </w:r>
      <w:r>
        <w:rPr>
          <w:rFonts w:ascii="Times New Roman" w:hAnsi="Times New Roman"/>
          <w:sz w:val="20"/>
          <w:u w:val="single"/>
        </w:rPr>
        <w:t>Section 4.09(d)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Accounting Principles</w:t>
      </w:r>
      <w:r>
        <w:rPr>
          <w:rFonts w:ascii="Times New Roman" w:hAnsi="Times New Roman"/>
          <w:sz w:val="20"/>
        </w:rPr>
        <w:t xml:space="preserve">” means the accounting principles, policies, practices, procedures, categorizations, definitions, methods, and estimation techniques set forth on </w:t>
      </w:r>
      <w:r>
        <w:rPr>
          <w:rFonts w:ascii="Times New Roman" w:hAnsi="Times New Roman"/>
          <w:sz w:val="20"/>
          <w:u w:val="single"/>
        </w:rPr>
        <w:t>Annex I</w:t>
      </w:r>
      <w:r>
        <w:rPr>
          <w:rFonts w:ascii="Times New Roman" w:hAnsi="Times New Roman"/>
          <w:sz w:val="20"/>
        </w:rPr>
        <w:t xml:space="preserve"> hereto, applied in the manner and to the extent set forth therein. </w:t>
      </w:r>
    </w:p>
    <w:p>
      <w:pPr>
        <w:pStyle w:val="TextBody"/>
        <w:bidi w:val="0"/>
        <w:spacing w:before="240" w:after="0"/>
        <w:jc w:val="left"/>
        <w:rPr/>
      </w:pPr>
      <w:r>
        <w:rPr/>
        <w:t>“</w:t>
      </w:r>
      <w:r>
        <w:rPr>
          <w:rFonts w:ascii="Times New Roman" w:hAnsi="Times New Roman"/>
          <w:sz w:val="20"/>
          <w:u w:val="single"/>
        </w:rPr>
        <w:t>Action</w:t>
      </w:r>
      <w:r>
        <w:rPr>
          <w:rFonts w:ascii="Times New Roman" w:hAnsi="Times New Roman"/>
          <w:sz w:val="20"/>
        </w:rPr>
        <w:t xml:space="preserve">” means any private or governmental claim, action, suit, demand, notice, charge, audit, investigation, complaint, summons, subpoena, arbitration, assessment, lawsuit, litigation, or other proceeding (whether sounding in contract, tort or otherwise, whether civil, administrative, judicial or criminal and whether brought at law or in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Affiliate</w:t>
      </w:r>
      <w:r>
        <w:rPr>
          <w:rFonts w:ascii="Times New Roman" w:hAnsi="Times New Roman"/>
          <w:sz w:val="20"/>
        </w:rPr>
        <w:t xml:space="preserve">” means, with respect to any specified Person, any other Person directly or indirectly, through one or more intermediaries, controlling, controlled by, or under direct or indirect common control with such specified Person. For purposes of this definition, the term “control” (including the terms “controlled by” and “under common control with”) means the possession, directly or indirectly, of the power to direct or cause the direction of the management and policies of a Person, whether through the ownership of voting securities (including, ownership by trusts with substantially the same beneficial interests), by contract or otherwise.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AI</w:t>
      </w:r>
      <w:r>
        <w:rPr>
          <w:rFonts w:ascii="Times New Roman" w:hAnsi="Times New Roman"/>
          <w:sz w:val="20"/>
        </w:rPr>
        <w:t xml:space="preserve">” means any and all artificial or augmented intelligence, machine learning, deep learning, self-improving, and/or predictive analytics, or any Software, algorithm, hardware, or other tool that makes decisions based on rules or statistics learned from example data (such as prediction, simulation, optimization, natural language processing, and other augmented or artificial intelligence techniques). </w:t>
      </w:r>
    </w:p>
    <w:p>
      <w:pPr>
        <w:pStyle w:val="TextBody"/>
        <w:bidi w:val="0"/>
        <w:spacing w:before="240" w:after="0"/>
        <w:jc w:val="left"/>
        <w:rPr/>
      </w:pPr>
      <w:r>
        <w:rPr/>
        <w:t>“</w:t>
      </w:r>
      <w:r>
        <w:rPr>
          <w:rFonts w:ascii="Times New Roman" w:hAnsi="Times New Roman"/>
          <w:sz w:val="20"/>
          <w:u w:val="single"/>
        </w:rPr>
        <w:t>Anti-Corruption Laws</w:t>
      </w:r>
      <w:r>
        <w:rPr>
          <w:rFonts w:ascii="Times New Roman" w:hAnsi="Times New Roman"/>
          <w:sz w:val="20"/>
        </w:rPr>
        <w:t xml:space="preserve">” means all U.S. and applicable non-U.S. Laws relating to the prevention of corruption and bribery and money laundering, including, to the extent applicable, the FCPA and the UK Bribery Act of 2010. </w:t>
      </w:r>
    </w:p>
    <w:p>
      <w:pPr>
        <w:pStyle w:val="TextBody"/>
        <w:bidi w:val="0"/>
        <w:spacing w:before="240" w:after="0"/>
        <w:jc w:val="left"/>
        <w:rPr/>
      </w:pPr>
      <w:r>
        <w:rPr/>
        <w:t>“</w:t>
      </w:r>
      <w:r>
        <w:rPr>
          <w:rFonts w:ascii="Times New Roman" w:hAnsi="Times New Roman"/>
          <w:sz w:val="20"/>
          <w:u w:val="single"/>
        </w:rPr>
        <w:t>Antique Firearms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Available Cash</w:t>
      </w:r>
      <w:r>
        <w:rPr>
          <w:rFonts w:ascii="Times New Roman" w:hAnsi="Times New Roman"/>
          <w:sz w:val="20"/>
        </w:rPr>
        <w:t xml:space="preserve">” means all Cash of the Company Group, </w:t>
      </w:r>
      <w:r>
        <w:rPr>
          <w:rFonts w:ascii="Times New Roman" w:hAnsi="Times New Roman"/>
          <w:i/>
          <w:sz w:val="20"/>
        </w:rPr>
        <w:t>net of</w:t>
      </w:r>
      <w:r>
        <w:rPr>
          <w:rFonts w:ascii="Times New Roman" w:hAnsi="Times New Roman"/>
          <w:sz w:val="20"/>
        </w:rPr>
        <w:t xml:space="preserve"> (a) any prepayments made by any customer to the Company Group as of the Closing Date, and (b) the amount of any Restricted Cash. The amount of Available Cash will be calculated in accordance with the Accounting Principles and as of immediately prior to the Effective Time. </w:t>
      </w:r>
    </w:p>
    <w:p>
      <w:pPr>
        <w:pStyle w:val="TextBody"/>
        <w:bidi w:val="0"/>
        <w:spacing w:before="240" w:after="0"/>
        <w:jc w:val="left"/>
        <w:rPr/>
      </w:pPr>
      <w:r>
        <w:rPr/>
        <w:t>“</w:t>
      </w:r>
      <w:r>
        <w:rPr>
          <w:rFonts w:ascii="Times New Roman" w:hAnsi="Times New Roman"/>
          <w:sz w:val="20"/>
          <w:u w:val="single"/>
        </w:rPr>
        <w:t>Balance Sheet Date</w:t>
      </w:r>
      <w:r>
        <w:rPr>
          <w:rFonts w:ascii="Times New Roman" w:hAnsi="Times New Roman"/>
          <w:sz w:val="20"/>
        </w:rPr>
        <w:t xml:space="preserve">” has the meaning set forth in </w:t>
      </w:r>
      <w:r>
        <w:rPr>
          <w:rFonts w:ascii="Times New Roman" w:hAnsi="Times New Roman"/>
          <w:sz w:val="20"/>
          <w:u w:val="single"/>
        </w:rPr>
        <w:t>Section 4.06(a)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Base Transaction Value</w:t>
      </w:r>
      <w:r>
        <w:rPr>
          <w:rFonts w:ascii="Times New Roman" w:hAnsi="Times New Roman"/>
          <w:sz w:val="20"/>
        </w:rPr>
        <w:t xml:space="preserve">” means $160,000,000.00. </w:t>
      </w:r>
    </w:p>
    <w:p>
      <w:pPr>
        <w:pStyle w:val="TextBody"/>
        <w:bidi w:val="0"/>
        <w:spacing w:before="240" w:after="0"/>
        <w:jc w:val="left"/>
        <w:rPr/>
      </w:pPr>
      <w:r>
        <w:rPr/>
        <w:t>“</w:t>
      </w:r>
      <w:r>
        <w:rPr>
          <w:rFonts w:ascii="Times New Roman" w:hAnsi="Times New Roman"/>
          <w:sz w:val="20"/>
          <w:u w:val="single"/>
        </w:rPr>
        <w:t>Benefit Plan</w:t>
      </w:r>
      <w:r>
        <w:rPr>
          <w:rFonts w:ascii="Times New Roman" w:hAnsi="Times New Roman"/>
          <w:sz w:val="20"/>
        </w:rPr>
        <w:t xml:space="preserve">” means, with respect to any Person, any plan, program, policy, agreement or arrangement that is an employment, consulting, deferred compensation, executive compensation, incentive bonus or other bonus, employee pension, profit sharing, savings, retirement, supplemental retirement, stock option, stock purchase, stock appreciation right, restricted stock, restricted stock unit, deferred stock unit, other equity-based compensation, termination, separation, severance, retention, change in control, salary continuation, life, death benefit, health, welfare, hospitalization, workers’ compensation, sick leave, vacation pay, child bonding leave, educational assistance, disability or accident insurance or other employee compensation or benefit plan, program, policy, agreement or arrangement, including any “employee benefit plan” (as defined in Section 3(3) of ERISA) (whether or not subject to ERISA) that is sponsored, maintained or contributed to or required to be contributed to by such Person or to which such Person is a party or under which such Person has any liability or obligation. </w:t>
      </w:r>
    </w:p>
    <w:p>
      <w:pPr>
        <w:pStyle w:val="TextBody"/>
        <w:bidi w:val="0"/>
        <w:spacing w:before="240" w:after="0"/>
        <w:jc w:val="left"/>
        <w:rPr/>
      </w:pPr>
      <w:r>
        <w:rPr/>
        <w:t>“</w:t>
      </w:r>
      <w:r>
        <w:rPr>
          <w:rFonts w:ascii="Times New Roman" w:hAnsi="Times New Roman"/>
          <w:sz w:val="20"/>
          <w:u w:val="single"/>
        </w:rPr>
        <w:t>Board of Directors</w:t>
      </w:r>
      <w:r>
        <w:rPr>
          <w:rFonts w:ascii="Times New Roman" w:hAnsi="Times New Roman"/>
          <w:sz w:val="20"/>
        </w:rPr>
        <w:t xml:space="preserve">” means, with respect to any Person, the board of directors, the board of managers or functionally similar governing body of such Person, as applicable, or, if such Person is limited partnership managed by a general partner, then the “Board of Directors” of such general partner, as applicable.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on which commercial banks are generally open for business in New York, New York, other than a Saturday, a Sunday or a day observed as a holiday in New York, New York under the Laws of the State of New York or the federal Laws of the United States of America.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CAD</w:t>
      </w:r>
      <w:r>
        <w:rPr>
          <w:rFonts w:ascii="Times New Roman" w:hAnsi="Times New Roman"/>
          <w:sz w:val="20"/>
        </w:rPr>
        <w:t xml:space="preserve">” means Canadian dollars. </w:t>
      </w:r>
    </w:p>
    <w:p>
      <w:pPr>
        <w:pStyle w:val="TextBody"/>
        <w:bidi w:val="0"/>
        <w:spacing w:before="240" w:after="0"/>
        <w:jc w:val="left"/>
        <w:rPr/>
      </w:pPr>
      <w:r>
        <w:rPr/>
        <w:t>“</w:t>
      </w:r>
      <w:r>
        <w:rPr>
          <w:rFonts w:ascii="Times New Roman" w:hAnsi="Times New Roman"/>
          <w:sz w:val="20"/>
          <w:u w:val="single"/>
        </w:rPr>
        <w:t>Canada Benefit Plan</w:t>
      </w:r>
      <w:r>
        <w:rPr>
          <w:rFonts w:ascii="Times New Roman" w:hAnsi="Times New Roman"/>
          <w:sz w:val="20"/>
        </w:rPr>
        <w:t xml:space="preserve">” means any Benefit Plan for the benefit of current or former Company Employees (or any spouses, dependants, survivors or beneficiaries of such Persons) in relation to work or services performed in Canada, that are maintained, sponsored or funded by the Company Group, or under which the Company Group has, or will have, any Liabilities provided that a Canada Benefit Plan shall not include any Canada Statutory Plan. For the avoidance of doubt, “Canada Benefit Plan” does not include a Company Benefit Plan. </w:t>
      </w:r>
    </w:p>
    <w:p>
      <w:pPr>
        <w:pStyle w:val="TextBody"/>
        <w:bidi w:val="0"/>
        <w:spacing w:before="240" w:after="0"/>
        <w:jc w:val="left"/>
        <w:rPr/>
      </w:pPr>
      <w:r>
        <w:rPr/>
        <w:t>“</w:t>
      </w:r>
      <w:r>
        <w:rPr>
          <w:rFonts w:ascii="Times New Roman" w:hAnsi="Times New Roman"/>
          <w:sz w:val="20"/>
          <w:u w:val="single"/>
        </w:rPr>
        <w:t>Canada Statutory Plan</w:t>
      </w:r>
      <w:r>
        <w:rPr>
          <w:rFonts w:ascii="Times New Roman" w:hAnsi="Times New Roman"/>
          <w:sz w:val="20"/>
        </w:rPr>
        <w:t xml:space="preserve">” means a statutory benefit plans in Canada which the Company Group is required to participate in or comply with, including the Canada and Quebec Pension Plans and plans administered pursuant to applicable health tax, workplace safety insurance, employment standards, and employment insurance legislation. </w:t>
      </w:r>
    </w:p>
    <w:p>
      <w:pPr>
        <w:pStyle w:val="TextBody"/>
        <w:bidi w:val="0"/>
        <w:spacing w:before="240" w:after="0"/>
        <w:jc w:val="left"/>
        <w:rPr/>
      </w:pPr>
      <w:r>
        <w:rPr/>
        <w:t>“</w:t>
      </w:r>
      <w:r>
        <w:rPr>
          <w:rFonts w:ascii="Times New Roman" w:hAnsi="Times New Roman"/>
          <w:sz w:val="20"/>
          <w:u w:val="single"/>
        </w:rPr>
        <w:t>Canadian Firearms Laws</w:t>
      </w:r>
      <w:r>
        <w:rPr>
          <w:rFonts w:ascii="Times New Roman" w:hAnsi="Times New Roman"/>
          <w:sz w:val="20"/>
        </w:rPr>
        <w:t xml:space="preserve">” means all applicable Laws of Canada or any province or territory thereof relating to firearms, weapons, ammunition or explosives, including their manufacture, assembly, storage, display, transportation, importation, exportation, sale or transfer, and the licensing of businesses engaged in such activities, including (a) the </w:t>
      </w:r>
      <w:r>
        <w:rPr>
          <w:rFonts w:ascii="Times New Roman" w:hAnsi="Times New Roman"/>
          <w:i/>
          <w:sz w:val="20"/>
        </w:rPr>
        <w:t xml:space="preserve">Firearms Act </w:t>
      </w:r>
      <w:r>
        <w:rPr>
          <w:rFonts w:ascii="Times New Roman" w:hAnsi="Times New Roman"/>
          <w:sz w:val="20"/>
        </w:rPr>
        <w:t xml:space="preserve">(Canada), S. C. 1995, c. 39 and the regulations thereunder, (b) Part III of the </w:t>
      </w:r>
      <w:r>
        <w:rPr>
          <w:rFonts w:ascii="Times New Roman" w:hAnsi="Times New Roman"/>
          <w:i/>
          <w:sz w:val="20"/>
        </w:rPr>
        <w:t>Criminal Code</w:t>
      </w:r>
      <w:r>
        <w:rPr>
          <w:rFonts w:ascii="Times New Roman" w:hAnsi="Times New Roman"/>
          <w:sz w:val="20"/>
        </w:rPr>
        <w:t xml:space="preserve"> (Canada), R.S.C. 1985, c. C-46 (Firearms and Other Weapons) and the regulations thereunder; and (c) the </w:t>
      </w:r>
      <w:r>
        <w:rPr>
          <w:rFonts w:ascii="Times New Roman" w:hAnsi="Times New Roman"/>
          <w:i/>
          <w:sz w:val="20"/>
        </w:rPr>
        <w:t xml:space="preserve">Explosives Act </w:t>
      </w:r>
      <w:r>
        <w:rPr>
          <w:rFonts w:ascii="Times New Roman" w:hAnsi="Times New Roman"/>
          <w:sz w:val="20"/>
        </w:rPr>
        <w:t xml:space="preserve">(Canada), R.S.C. 1985, c. E-17 and the </w:t>
      </w:r>
      <w:r>
        <w:rPr>
          <w:rFonts w:ascii="Times New Roman" w:hAnsi="Times New Roman"/>
          <w:i/>
          <w:sz w:val="20"/>
        </w:rPr>
        <w:t>Explosives Regulations</w:t>
      </w:r>
      <w:r>
        <w:rPr>
          <w:rFonts w:ascii="Times New Roman" w:hAnsi="Times New Roman"/>
          <w:sz w:val="20"/>
        </w:rPr>
        <w:t xml:space="preserve">, 2013, SOR/2013-211, in each case as amended, re-enacted, replaced or supplemented from time to time. </w:t>
      </w:r>
    </w:p>
    <w:p>
      <w:pPr>
        <w:pStyle w:val="TextBody"/>
        <w:bidi w:val="0"/>
        <w:spacing w:before="240" w:after="0"/>
        <w:jc w:val="left"/>
        <w:rPr/>
      </w:pPr>
      <w:r>
        <w:rPr/>
        <w:t>“</w:t>
      </w:r>
      <w:r>
        <w:rPr>
          <w:rFonts w:ascii="Times New Roman" w:hAnsi="Times New Roman"/>
          <w:sz w:val="20"/>
          <w:u w:val="single"/>
        </w:rPr>
        <w:t>Canadian Controlled Goods Laws</w:t>
      </w:r>
      <w:r>
        <w:rPr>
          <w:rFonts w:ascii="Times New Roman" w:hAnsi="Times New Roman"/>
          <w:sz w:val="20"/>
        </w:rPr>
        <w:t xml:space="preserve">” means all applicable Laws of Canada governing or otherwise regulating the examination, possession or transfer of, or access to, controlled goods in Canada, including Part 2 of the </w:t>
      </w:r>
      <w:r>
        <w:rPr>
          <w:rFonts w:ascii="Times New Roman" w:hAnsi="Times New Roman"/>
          <w:i/>
          <w:sz w:val="20"/>
        </w:rPr>
        <w:t xml:space="preserve">Defence Production Act </w:t>
      </w:r>
      <w:r>
        <w:rPr>
          <w:rFonts w:ascii="Times New Roman" w:hAnsi="Times New Roman"/>
          <w:sz w:val="20"/>
        </w:rPr>
        <w:t xml:space="preserve">(Canada), R.S.C. 1985, c. D-1 and the </w:t>
      </w:r>
      <w:r>
        <w:rPr>
          <w:rFonts w:ascii="Times New Roman" w:hAnsi="Times New Roman"/>
          <w:i/>
          <w:sz w:val="20"/>
        </w:rPr>
        <w:t>Controlled Goods Regulations</w:t>
      </w:r>
      <w:r>
        <w:rPr>
          <w:rFonts w:ascii="Times New Roman" w:hAnsi="Times New Roman"/>
          <w:sz w:val="20"/>
        </w:rPr>
        <w:t xml:space="preserve">, SOR/2001-32, in each case as amended, re-enacted or supplemented from time to time. </w:t>
      </w:r>
    </w:p>
    <w:p>
      <w:pPr>
        <w:pStyle w:val="TextBody"/>
        <w:bidi w:val="0"/>
        <w:spacing w:before="240" w:after="0"/>
        <w:jc w:val="left"/>
        <w:rPr/>
      </w:pPr>
      <w:r>
        <w:rPr/>
        <w:t>“</w:t>
      </w:r>
      <w:r>
        <w:rPr>
          <w:rFonts w:ascii="Times New Roman" w:hAnsi="Times New Roman"/>
          <w:sz w:val="20"/>
          <w:u w:val="single"/>
        </w:rPr>
        <w:t>Canadian Regulatory Notifications</w:t>
      </w:r>
      <w:r>
        <w:rPr>
          <w:rFonts w:ascii="Times New Roman" w:hAnsi="Times New Roman"/>
          <w:sz w:val="20"/>
        </w:rPr>
        <w:t xml:space="preserve">” has the meaning set forth in </w:t>
      </w:r>
      <w:r>
        <w:rPr>
          <w:rFonts w:ascii="Times New Roman" w:hAnsi="Times New Roman"/>
          <w:sz w:val="20"/>
          <w:u w:val="single"/>
        </w:rPr>
        <w:t>Section 6.10(a)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Canadian Subsidiary</w:t>
      </w:r>
      <w:r>
        <w:rPr>
          <w:rFonts w:ascii="Times New Roman" w:hAnsi="Times New Roman"/>
          <w:sz w:val="20"/>
        </w:rPr>
        <w:t xml:space="preserve">” means Savage Arms (Canada), Inc. </w:t>
      </w:r>
    </w:p>
    <w:p>
      <w:pPr>
        <w:pStyle w:val="TextBody"/>
        <w:bidi w:val="0"/>
        <w:spacing w:before="240" w:after="0"/>
        <w:jc w:val="left"/>
        <w:rPr/>
      </w:pPr>
      <w:r>
        <w:rPr/>
        <w:t>“</w:t>
      </w:r>
      <w:r>
        <w:rPr>
          <w:rFonts w:ascii="Times New Roman" w:hAnsi="Times New Roman"/>
          <w:sz w:val="20"/>
          <w:u w:val="single"/>
        </w:rPr>
        <w:t>Canadian Trade Laws</w:t>
      </w:r>
      <w:r>
        <w:rPr>
          <w:rFonts w:ascii="Times New Roman" w:hAnsi="Times New Roman"/>
          <w:sz w:val="20"/>
        </w:rPr>
        <w:t xml:space="preserve">” means all applicable Laws of Canada relating to economic or trade sanctions, export, import, customs and trade remedies, including (a) the </w:t>
      </w:r>
      <w:r>
        <w:rPr>
          <w:rFonts w:ascii="Times New Roman" w:hAnsi="Times New Roman"/>
          <w:i/>
          <w:sz w:val="20"/>
        </w:rPr>
        <w:t xml:space="preserve">Export and Import Permits Act </w:t>
      </w:r>
      <w:r>
        <w:rPr>
          <w:rFonts w:ascii="Times New Roman" w:hAnsi="Times New Roman"/>
          <w:sz w:val="20"/>
        </w:rPr>
        <w:t xml:space="preserve">(Canada) (R.S.C. 1985), c. E-19 and the regulations thereunder, (b) the </w:t>
      </w:r>
      <w:r>
        <w:rPr>
          <w:rFonts w:ascii="Times New Roman" w:hAnsi="Times New Roman"/>
          <w:i/>
          <w:sz w:val="20"/>
        </w:rPr>
        <w:t>Special Economic Measures Act</w:t>
      </w:r>
      <w:r>
        <w:rPr>
          <w:rFonts w:ascii="Times New Roman" w:hAnsi="Times New Roman"/>
          <w:sz w:val="20"/>
        </w:rPr>
        <w:t xml:space="preserve"> (Canada) (S.C. 1992, c. 17), (c) the </w:t>
      </w:r>
      <w:r>
        <w:rPr>
          <w:rFonts w:ascii="Times New Roman" w:hAnsi="Times New Roman"/>
          <w:i/>
          <w:sz w:val="20"/>
        </w:rPr>
        <w:t>United Nations Act</w:t>
      </w:r>
      <w:r>
        <w:rPr>
          <w:rFonts w:ascii="Times New Roman" w:hAnsi="Times New Roman"/>
          <w:sz w:val="20"/>
        </w:rPr>
        <w:t xml:space="preserve"> (Canada) (R.S.C., 1985, c. U-2) and (d) the Justice for Victims of Corrupt Foreign Officials Act (Sergei Magnitsky Law) (Canada) (S.C. 2017, c. 21), in each case as amended, re-enacted or supplemented from time to time. </w:t>
      </w:r>
    </w:p>
    <w:p>
      <w:pPr>
        <w:pStyle w:val="TextBody"/>
        <w:bidi w:val="0"/>
        <w:spacing w:before="240" w:after="0"/>
        <w:jc w:val="left"/>
        <w:rPr/>
      </w:pPr>
      <w:r>
        <w:rPr/>
        <w:t>“</w:t>
      </w:r>
      <w:r>
        <w:rPr>
          <w:rFonts w:ascii="Times New Roman" w:hAnsi="Times New Roman"/>
          <w:sz w:val="20"/>
          <w:u w:val="single"/>
        </w:rPr>
        <w:t>CARES Act</w:t>
      </w:r>
      <w:r>
        <w:rPr>
          <w:rFonts w:ascii="Times New Roman" w:hAnsi="Times New Roman"/>
          <w:sz w:val="20"/>
        </w:rPr>
        <w:t xml:space="preserve">” means the Coronavirus Aid, Relief, and Economic Security Act (H.R. 748), any current federal, state or local Laws or guidance relating to the COVID-19 pandemic and any similar or successor legislation, including any presidential memoranda or executive orders, relating to the COVID-19 pandemic, including the Health and Economic Recovery Omnibus Emergency Solutions Act and the Health, Economic Assistance, Liability, and Schools Act and including the Memorandum for the Secretary of the Treasury signed on August 8, 2020. </w:t>
      </w:r>
    </w:p>
    <w:p>
      <w:pPr>
        <w:pStyle w:val="TextBody"/>
        <w:bidi w:val="0"/>
        <w:spacing w:before="240" w:after="0"/>
        <w:jc w:val="left"/>
        <w:rPr/>
      </w:pPr>
      <w:r>
        <w:rPr/>
        <w:t>“</w:t>
      </w:r>
      <w:r>
        <w:rPr>
          <w:rFonts w:ascii="Times New Roman" w:hAnsi="Times New Roman"/>
          <w:sz w:val="20"/>
          <w:u w:val="single"/>
        </w:rPr>
        <w:t>Cash</w:t>
      </w:r>
      <w:r>
        <w:rPr>
          <w:rFonts w:ascii="Times New Roman" w:hAnsi="Times New Roman"/>
          <w:sz w:val="20"/>
        </w:rPr>
        <w:t xml:space="preserve">” means cash and cash equivalents comprising solely funds in time deposits and demand deposits or similar accounts of the Company and the Company Subsidiaries to the extent convertible into cash within 30 days of the Closing. </w:t>
      </w:r>
    </w:p>
    <w:p>
      <w:pPr>
        <w:pStyle w:val="TextBody"/>
        <w:bidi w:val="0"/>
        <w:spacing w:before="240" w:after="0"/>
        <w:jc w:val="left"/>
        <w:rPr/>
      </w:pPr>
      <w:r>
        <w:rPr/>
        <w:t>“</w:t>
      </w:r>
      <w:r>
        <w:rPr>
          <w:rFonts w:ascii="Times New Roman" w:hAnsi="Times New Roman"/>
          <w:sz w:val="20"/>
          <w:u w:val="single"/>
        </w:rPr>
        <w:t>Certificate</w:t>
      </w:r>
      <w:r>
        <w:rPr>
          <w:rFonts w:ascii="Times New Roman" w:hAnsi="Times New Roman"/>
          <w:sz w:val="20"/>
        </w:rPr>
        <w:t xml:space="preserve">” has the meaning set forth in </w:t>
      </w:r>
      <w:r>
        <w:rPr>
          <w:rFonts w:ascii="Times New Roman" w:hAnsi="Times New Roman"/>
          <w:sz w:val="20"/>
          <w:u w:val="single"/>
        </w:rPr>
        <w:t>Section 2.03(b)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Chosen Courts</w:t>
      </w:r>
      <w:r>
        <w:rPr>
          <w:rFonts w:ascii="Times New Roman" w:hAnsi="Times New Roman"/>
          <w:sz w:val="20"/>
        </w:rPr>
        <w:t xml:space="preserve">” has the meaning set forth in </w:t>
      </w:r>
      <w:r>
        <w:rPr>
          <w:rFonts w:ascii="Times New Roman" w:hAnsi="Times New Roman"/>
          <w:sz w:val="20"/>
          <w:u w:val="single"/>
        </w:rPr>
        <w:t>Section 9.13(a)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Closing</w:t>
      </w:r>
      <w:r>
        <w:rPr>
          <w:rFonts w:ascii="Times New Roman" w:hAnsi="Times New Roman"/>
          <w:sz w:val="20"/>
        </w:rPr>
        <w:t xml:space="preserve">” has the meaning set forth in </w:t>
      </w:r>
      <w:r>
        <w:rPr>
          <w:rFonts w:ascii="Times New Roman" w:hAnsi="Times New Roman"/>
          <w:sz w:val="20"/>
          <w:u w:val="single"/>
        </w:rPr>
        <w:t>Section 1.02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Closing Date</w:t>
      </w:r>
      <w:r>
        <w:rPr>
          <w:rFonts w:ascii="Times New Roman" w:hAnsi="Times New Roman"/>
          <w:sz w:val="20"/>
        </w:rPr>
        <w:t xml:space="preserve">” has the meaning set forth in </w:t>
      </w:r>
      <w:r>
        <w:rPr>
          <w:rFonts w:ascii="Times New Roman" w:hAnsi="Times New Roman"/>
          <w:sz w:val="20"/>
          <w:u w:val="single"/>
        </w:rPr>
        <w:t>Section 1.02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Closing Indebtedness</w:t>
      </w:r>
      <w:r>
        <w:rPr>
          <w:rFonts w:ascii="Times New Roman" w:hAnsi="Times New Roman"/>
          <w:sz w:val="20"/>
        </w:rPr>
        <w:t xml:space="preserve">” means all Indebtedness as of immediately prior to the Effective Time. </w:t>
      </w:r>
    </w:p>
    <w:p>
      <w:pPr>
        <w:pStyle w:val="TextBody"/>
        <w:bidi w:val="0"/>
        <w:spacing w:before="240" w:after="0"/>
        <w:jc w:val="left"/>
        <w:rPr/>
      </w:pPr>
      <w:r>
        <w:rPr/>
        <w:t>“</w:t>
      </w:r>
      <w:r>
        <w:rPr>
          <w:rFonts w:ascii="Times New Roman" w:hAnsi="Times New Roman"/>
          <w:sz w:val="20"/>
          <w:u w:val="single"/>
        </w:rPr>
        <w:t>Closing Net Working Capital</w:t>
      </w:r>
      <w:r>
        <w:rPr>
          <w:rFonts w:ascii="Times New Roman" w:hAnsi="Times New Roman"/>
          <w:sz w:val="20"/>
        </w:rPr>
        <w:t xml:space="preserve">” means Net Working Capital as of immediately prior to the Effective Time. </w:t>
      </w:r>
    </w:p>
    <w:p>
      <w:pPr>
        <w:pStyle w:val="TextBody"/>
        <w:bidi w:val="0"/>
        <w:spacing w:before="240" w:after="0"/>
        <w:jc w:val="left"/>
        <w:rPr/>
      </w:pPr>
      <w:r>
        <w:rPr/>
        <w:t>“</w:t>
      </w:r>
      <w:r>
        <w:rPr>
          <w:rFonts w:ascii="Times New Roman" w:hAnsi="Times New Roman"/>
          <w:sz w:val="20"/>
          <w:u w:val="single"/>
        </w:rPr>
        <w:t>Closing Statement</w:t>
      </w:r>
      <w:r>
        <w:rPr>
          <w:rFonts w:ascii="Times New Roman" w:hAnsi="Times New Roman"/>
          <w:sz w:val="20"/>
        </w:rPr>
        <w:t xml:space="preserve">” has the meaning set forth in </w:t>
      </w:r>
      <w:r>
        <w:rPr>
          <w:rFonts w:ascii="Times New Roman" w:hAnsi="Times New Roman"/>
          <w:sz w:val="20"/>
          <w:u w:val="single"/>
        </w:rPr>
        <w:t>Section 2.05(b)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Closing Transaction Expenses</w:t>
      </w:r>
      <w:r>
        <w:rPr>
          <w:rFonts w:ascii="Times New Roman" w:hAnsi="Times New Roman"/>
          <w:sz w:val="20"/>
        </w:rPr>
        <w:t xml:space="preserve">” means the Transaction Expenses that remain(ed) unpaid or outstanding as of immediately prior to the Effective Time.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U.S. Internal Revenue Code of 1986, as amended. </w:t>
      </w:r>
    </w:p>
    <w:p>
      <w:pPr>
        <w:pStyle w:val="TextBody"/>
        <w:bidi w:val="0"/>
        <w:spacing w:before="240" w:after="0"/>
        <w:jc w:val="left"/>
        <w:rPr/>
      </w:pPr>
      <w:r>
        <w:rPr/>
        <w:t>“</w:t>
      </w:r>
      <w:r>
        <w:rPr>
          <w:rFonts w:ascii="Times New Roman" w:hAnsi="Times New Roman"/>
          <w:sz w:val="20"/>
          <w:u w:val="single"/>
        </w:rPr>
        <w:t>Common Stock Consideration Cap</w:t>
      </w:r>
      <w:r>
        <w:rPr>
          <w:rFonts w:ascii="Times New Roman" w:hAnsi="Times New Roman"/>
          <w:sz w:val="20"/>
        </w:rPr>
        <w:t xml:space="preserve">” means a number of shares of Parent Common Stock equal to 8,993,968, representing 19.99% of the total number of shares of Parent Common Stock outstanding immediately prior to the First Effective Time (rounded down to the nearest whole share).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Company Assets</w:t>
      </w:r>
      <w:r>
        <w:rPr>
          <w:rFonts w:ascii="Times New Roman" w:hAnsi="Times New Roman"/>
          <w:sz w:val="20"/>
        </w:rPr>
        <w:t xml:space="preserve">” means all properties, assets and rights of every kind, nature and description whatsoever whether tangible or intangible, real, personal or mixed, wherever located, that, in each case, are owned or leased by a member of the Company Group or used in the Company Business. </w:t>
      </w:r>
    </w:p>
    <w:p>
      <w:pPr>
        <w:pStyle w:val="TextBody"/>
        <w:bidi w:val="0"/>
        <w:spacing w:before="240" w:after="0"/>
        <w:jc w:val="left"/>
        <w:rPr/>
      </w:pPr>
      <w:r>
        <w:rPr/>
        <w:t>“</w:t>
      </w:r>
      <w:r>
        <w:rPr>
          <w:rFonts w:ascii="Times New Roman" w:hAnsi="Times New Roman"/>
          <w:sz w:val="20"/>
          <w:u w:val="single"/>
        </w:rPr>
        <w:t>Company Benefit Plan</w:t>
      </w:r>
      <w:r>
        <w:rPr>
          <w:rFonts w:ascii="Times New Roman" w:hAnsi="Times New Roman"/>
          <w:sz w:val="20"/>
        </w:rPr>
        <w:t xml:space="preserve">” means any Benefit Plan (or portion thereof) (other than any Canada Benefit Plan) that is sponsored, maintained or contributed to or required to be contributed to by any member of the Company Group or any ERISA Affiliate for the benefit of any current or former employee, independent contractor or director (and/or their dependents or beneficiaries) of any member of the Company Group, or with respect to any member of the Company Group otherwise has any liabilities or obligations. For the avoidance of doubt, “Company Benefit Plan” does not include a Canada Benefit Plan. </w:t>
      </w:r>
    </w:p>
    <w:p>
      <w:pPr>
        <w:pStyle w:val="TextBody"/>
        <w:bidi w:val="0"/>
        <w:spacing w:before="240" w:after="0"/>
        <w:jc w:val="left"/>
        <w:rPr/>
      </w:pPr>
      <w:r>
        <w:rPr/>
        <w:t>“</w:t>
      </w:r>
      <w:r>
        <w:rPr>
          <w:rFonts w:ascii="Times New Roman" w:hAnsi="Times New Roman"/>
          <w:sz w:val="20"/>
          <w:u w:val="single"/>
        </w:rPr>
        <w:t>Company Business</w:t>
      </w:r>
      <w:r>
        <w:rPr>
          <w:rFonts w:ascii="Times New Roman" w:hAnsi="Times New Roman"/>
          <w:sz w:val="20"/>
        </w:rPr>
        <w:t xml:space="preserve">” means any and all business, activities, services, or operations conducted or actively proposed to be conducted by the Company Group as of the Closing, including, but not limited to, manufacturing, marketing and selling firearms and firearm accessories and components. </w:t>
      </w:r>
    </w:p>
    <w:p>
      <w:pPr>
        <w:pStyle w:val="TextBody"/>
        <w:bidi w:val="0"/>
        <w:spacing w:before="240" w:after="0"/>
        <w:jc w:val="left"/>
        <w:rPr/>
      </w:pPr>
      <w:r>
        <w:rPr/>
        <w:t>“</w:t>
      </w:r>
      <w:r>
        <w:rPr>
          <w:rFonts w:ascii="Times New Roman" w:hAnsi="Times New Roman"/>
          <w:sz w:val="20"/>
          <w:u w:val="single"/>
        </w:rPr>
        <w:t>Company Disclosure Letter</w:t>
      </w:r>
      <w:r>
        <w:rPr>
          <w:rFonts w:ascii="Times New Roman" w:hAnsi="Times New Roman"/>
          <w:sz w:val="20"/>
        </w:rPr>
        <w:t xml:space="preserve">” means the disclosure letter delivered by the Company to Parent and Merger Sub at or immediately prior to the execution of this Agreement. </w:t>
      </w:r>
    </w:p>
    <w:p>
      <w:pPr>
        <w:pStyle w:val="TextBody"/>
        <w:bidi w:val="0"/>
        <w:spacing w:before="240" w:after="0"/>
        <w:jc w:val="left"/>
        <w:rPr/>
      </w:pPr>
      <w:r>
        <w:rPr/>
        <w:t>“</w:t>
      </w:r>
      <w:r>
        <w:rPr>
          <w:rFonts w:ascii="Times New Roman" w:hAnsi="Times New Roman"/>
          <w:sz w:val="20"/>
          <w:u w:val="single"/>
        </w:rPr>
        <w:t>Company Employee</w:t>
      </w:r>
      <w:r>
        <w:rPr>
          <w:rFonts w:ascii="Times New Roman" w:hAnsi="Times New Roman"/>
          <w:sz w:val="20"/>
        </w:rPr>
        <w:t xml:space="preserve">” means each director, officer, manager, individual independent contractors, consultants or employee of the Company Group. </w:t>
      </w:r>
    </w:p>
    <w:p>
      <w:pPr>
        <w:pStyle w:val="TextBody"/>
        <w:bidi w:val="0"/>
        <w:spacing w:before="240" w:after="0"/>
        <w:jc w:val="left"/>
        <w:rPr/>
      </w:pPr>
      <w:r>
        <w:rPr/>
        <w:t>“</w:t>
      </w:r>
      <w:r>
        <w:rPr>
          <w:rFonts w:ascii="Times New Roman" w:hAnsi="Times New Roman"/>
          <w:sz w:val="20"/>
          <w:u w:val="single"/>
        </w:rPr>
        <w:t>Company Group</w:t>
      </w:r>
      <w:r>
        <w:rPr>
          <w:rFonts w:ascii="Times New Roman" w:hAnsi="Times New Roman"/>
          <w:sz w:val="20"/>
        </w:rPr>
        <w:t xml:space="preserve">” means the Company and each Company Subsidiary. </w:t>
      </w:r>
    </w:p>
    <w:p>
      <w:pPr>
        <w:pStyle w:val="TextBody"/>
        <w:bidi w:val="0"/>
        <w:spacing w:before="240" w:after="0"/>
        <w:jc w:val="left"/>
        <w:rPr/>
      </w:pPr>
      <w:r>
        <w:rPr/>
        <w:t>“</w:t>
      </w:r>
      <w:r>
        <w:rPr>
          <w:rFonts w:ascii="Times New Roman" w:hAnsi="Times New Roman"/>
          <w:sz w:val="20"/>
          <w:u w:val="single"/>
        </w:rPr>
        <w:t>Company Intellectual Property</w:t>
      </w:r>
      <w:r>
        <w:rPr>
          <w:rFonts w:ascii="Times New Roman" w:hAnsi="Times New Roman"/>
          <w:sz w:val="20"/>
        </w:rPr>
        <w:t xml:space="preserve">” has the meaning set forth in </w:t>
      </w:r>
      <w:r>
        <w:rPr>
          <w:rFonts w:ascii="Times New Roman" w:hAnsi="Times New Roman"/>
          <w:sz w:val="20"/>
          <w:u w:val="single"/>
        </w:rPr>
        <w:t>Section 4.15(a)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Leased Real Property</w:t>
      </w:r>
      <w:r>
        <w:rPr>
          <w:rFonts w:ascii="Times New Roman" w:hAnsi="Times New Roman"/>
          <w:sz w:val="20"/>
        </w:rPr>
        <w:t xml:space="preserve">” has the meaning set forth in </w:t>
      </w:r>
      <w:r>
        <w:rPr>
          <w:rFonts w:ascii="Times New Roman" w:hAnsi="Times New Roman"/>
          <w:sz w:val="20"/>
          <w:u w:val="single"/>
        </w:rPr>
        <w:t>Section 4.14(b)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Material Adverse Effect</w:t>
      </w:r>
      <w:r>
        <w:rPr>
          <w:rFonts w:ascii="Times New Roman" w:hAnsi="Times New Roman"/>
          <w:sz w:val="20"/>
        </w:rPr>
        <w:t>” means any event (or series of events), change, effect, development, fact, condition, circumstance, or occurrence (collectively, “</w:t>
      </w:r>
      <w:r>
        <w:rPr>
          <w:rFonts w:ascii="Times New Roman" w:hAnsi="Times New Roman"/>
          <w:sz w:val="20"/>
          <w:u w:val="single"/>
        </w:rPr>
        <w:t>Events</w:t>
      </w:r>
      <w:r>
        <w:rPr>
          <w:rFonts w:ascii="Times New Roman" w:hAnsi="Times New Roman"/>
          <w:sz w:val="20"/>
        </w:rPr>
        <w:t xml:space="preserve">”) that has or would reasonably be expected to have, the effect of (a) preventing, impairing or delaying the Company’s ability in all material respects to perform its obligations under this Agreement or any of the Transaction Documents or (b) a material adverse effect on the results of operations, assets, properties, liabilities, business or condition (financial or otherwise) of the Company Group, taken as a whole; </w:t>
      </w:r>
      <w:r>
        <w:rPr>
          <w:rFonts w:ascii="Times New Roman" w:hAnsi="Times New Roman"/>
          <w:sz w:val="20"/>
          <w:u w:val="single"/>
        </w:rPr>
        <w:t>provided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however</w:t>
      </w:r>
      <w:r>
        <w:rPr>
          <w:rFonts w:ascii="Times New Roman" w:hAnsi="Times New Roman"/>
          <w:sz w:val="20"/>
        </w:rPr>
        <w:t xml:space="preserve">, that no Event resulting from or arising out of any of the following shall be deemed to constitute a Company Material Adverse Effect: (i) political, social, economic, tax, financial, capital market, credit market, financial market, industry-wide conditions, in each case, changes in or Events generally of the foregoing, affecting the industries, markets, geographic areas or competitive landscape in which the Company Group conducts business or operates, (ii) any military action, outbreak or escalation of hostilities, declared or undeclared acts of war or terrorism, civil unrest, public demonstrations, acts of sabotage or malicious cyber-enabled activities, (iii) adoption, implementation, modification, repeal or other changes in applicable Law or Governmental Orders (or interpretations thereof) after the date hereof, unless the foregoing relate solely to the Company Group or specifically name the Company Group (or a member thereof), (iv) changes in accounting requirements or principles (including GAAP) (or interpretations thereof) after the date hereof, (v) any failure of the Company Group to meet projections, forecasts or revenue or earning predictions for any period (it being understood that any Events underlying such failure may be taken into account in determining whether this is or has been a Company Material Adverse Effect), (vi) any acts of God, pandemics, earthquakes, hurricanes, floods or other natural disasters or any changes in public health conditions or weather patterns in any jurisdiction or region in which the Company and the Company Subsidiaries operate, or (vii) the public announcement of the Transactions;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 “Company Material Adverse Effect” shall only occur under </w:t>
      </w:r>
      <w:r>
        <w:rPr>
          <w:rFonts w:ascii="Times New Roman" w:hAnsi="Times New Roman"/>
          <w:sz w:val="20"/>
          <w:u w:val="single"/>
        </w:rPr>
        <w:t>clause (i)</w:t>
      </w:r>
      <w:r>
        <w:rPr>
          <w:rFonts w:ascii="Times New Roman" w:hAnsi="Times New Roman"/>
          <w:sz w:val="20"/>
        </w:rPr>
        <w:t xml:space="preserve"> through </w:t>
      </w:r>
      <w:r>
        <w:rPr>
          <w:rFonts w:ascii="Times New Roman" w:hAnsi="Times New Roman"/>
          <w:sz w:val="20"/>
          <w:u w:val="single"/>
        </w:rPr>
        <w:t>clause (vii)</w:t>
      </w:r>
      <w:r>
        <w:rPr>
          <w:rFonts w:ascii="Times New Roman" w:hAnsi="Times New Roman"/>
          <w:sz w:val="20"/>
        </w:rPr>
        <w:t xml:space="preserve"> to the extent that any such matters have or would be reasonably likely to have a disproportionate impact on the results of operations, assets, properties, liabilities, business or condition (financial or otherwise) of the Company Group relative to other participants in the same industries and geographical areas in which the Company Group participates. </w:t>
      </w:r>
    </w:p>
    <w:p>
      <w:pPr>
        <w:pStyle w:val="TextBody"/>
        <w:bidi w:val="0"/>
        <w:spacing w:before="240" w:after="0"/>
        <w:jc w:val="left"/>
        <w:rPr/>
      </w:pPr>
      <w:r>
        <w:rPr/>
        <w:t>“</w:t>
      </w:r>
      <w:r>
        <w:rPr>
          <w:rFonts w:ascii="Times New Roman" w:hAnsi="Times New Roman"/>
          <w:sz w:val="20"/>
          <w:u w:val="single"/>
        </w:rPr>
        <w:t>Company Material Contract</w:t>
      </w:r>
      <w:r>
        <w:rPr>
          <w:rFonts w:ascii="Times New Roman" w:hAnsi="Times New Roman"/>
          <w:sz w:val="20"/>
        </w:rPr>
        <w:t xml:space="preserve">” has the meaning set forth in </w:t>
      </w:r>
      <w:r>
        <w:rPr>
          <w:rFonts w:ascii="Times New Roman" w:hAnsi="Times New Roman"/>
          <w:sz w:val="20"/>
          <w:u w:val="single"/>
        </w:rPr>
        <w:t>Section 4.17(a)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Owned Intellectual Property</w:t>
      </w:r>
      <w:r>
        <w:rPr>
          <w:rFonts w:ascii="Times New Roman" w:hAnsi="Times New Roman"/>
          <w:sz w:val="20"/>
        </w:rPr>
        <w:t xml:space="preserve">” means all Company Intellectual Property owned or purported to be owned by the Company or a Company Subsidiary including, for the avoidance of doubt, all Company Registered Intellectual Property. </w:t>
      </w:r>
    </w:p>
    <w:p>
      <w:pPr>
        <w:pStyle w:val="TextBody"/>
        <w:bidi w:val="0"/>
        <w:spacing w:before="240" w:after="0"/>
        <w:jc w:val="left"/>
        <w:rPr/>
      </w:pPr>
      <w:r>
        <w:rPr/>
        <w:t>“</w:t>
      </w:r>
      <w:r>
        <w:rPr>
          <w:rFonts w:ascii="Times New Roman" w:hAnsi="Times New Roman"/>
          <w:sz w:val="20"/>
          <w:u w:val="single"/>
        </w:rPr>
        <w:t>Company Owned Real Property</w:t>
      </w:r>
      <w:r>
        <w:rPr>
          <w:rFonts w:ascii="Times New Roman" w:hAnsi="Times New Roman"/>
          <w:sz w:val="20"/>
        </w:rPr>
        <w:t xml:space="preserve">” has the meaning set forth in </w:t>
      </w:r>
      <w:r>
        <w:rPr>
          <w:rFonts w:ascii="Times New Roman" w:hAnsi="Times New Roman"/>
          <w:sz w:val="20"/>
          <w:u w:val="single"/>
        </w:rPr>
        <w:t>Section 4.14(a)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Permitted Liens</w:t>
      </w:r>
      <w:r>
        <w:rPr>
          <w:rFonts w:ascii="Times New Roman" w:hAnsi="Times New Roman"/>
          <w:sz w:val="20"/>
        </w:rPr>
        <w:t xml:space="preserve">” means (a) Liens consisting of zoning or planning restrictions, permits, recorded easements or covenants and other similar restrictions or limitations on the use or occupancy of real property, which the Company and the Company Subsidiaries comply with and which do not materially or adversely impair the use of such property as it is presently used in connection with the Company Business, (b) Liens for current Taxes, assessments or governmental charges or levies on property not yet due and payable or the validity or amount of which is being contested in good faith by appropriate proceedings, (c) mechanics’, carriers’, workers’, repairers’ and other similar liens arising or incurred in the Ordinary Course of Business relating to obligations which are not yet due and payable, or the validity or amount of which is being contested in good faith by appropriate proceedings, or pledges, deposits or other liens securing the performance of bids, trade contracts, leases or statutory obligations (including workers’ compensation, unemployment insurance or other social security legislation), (d) any right, interest, lien, title or other Lien of a lessor or sublessor under any lease or other similar agreement or in the property being leased (including under any capital lease for equipment), (e) with respect to Company Real Property, all recorded exceptions, restrictions, easements, imperfections of title, charges, rights-of-way and other recorded Liens that do not materially or adversely interfere with the present use, occupancy or operation of the assets of the Company and its Subsidiaries taken as a whole and which are not being violated, (f) Liens set forth on </w:t>
      </w:r>
      <w:r>
        <w:rPr>
          <w:rFonts w:ascii="Times New Roman" w:hAnsi="Times New Roman"/>
          <w:sz w:val="20"/>
          <w:u w:val="single"/>
        </w:rPr>
        <w:t>Section 9.16(i)</w:t>
      </w:r>
      <w:r>
        <w:rPr>
          <w:rFonts w:ascii="Times New Roman" w:hAnsi="Times New Roman"/>
          <w:sz w:val="20"/>
        </w:rPr>
        <w:t xml:space="preserve"> of the Company Disclosure Letter, and (g) non-exclusive licenses of Intellectual Property granted in the Ordinary Course of Business. </w:t>
      </w:r>
    </w:p>
    <w:p>
      <w:pPr>
        <w:pStyle w:val="TextBody"/>
        <w:bidi w:val="0"/>
        <w:spacing w:before="240" w:after="0"/>
        <w:jc w:val="left"/>
        <w:rPr/>
      </w:pPr>
      <w:r>
        <w:rPr/>
        <w:t>“</w:t>
      </w:r>
      <w:r>
        <w:rPr>
          <w:rFonts w:ascii="Times New Roman" w:hAnsi="Times New Roman"/>
          <w:sz w:val="20"/>
          <w:u w:val="single"/>
        </w:rPr>
        <w:t>Company Real Property</w:t>
      </w:r>
      <w:r>
        <w:rPr>
          <w:rFonts w:ascii="Times New Roman" w:hAnsi="Times New Roman"/>
          <w:sz w:val="20"/>
        </w:rPr>
        <w:t xml:space="preserve">” means, collectively, the Company Owned Real Property and the Company Leased Real Property. </w:t>
      </w:r>
    </w:p>
    <w:p>
      <w:pPr>
        <w:pStyle w:val="TextBody"/>
        <w:bidi w:val="0"/>
        <w:spacing w:before="240" w:after="0"/>
        <w:jc w:val="left"/>
        <w:rPr/>
      </w:pPr>
      <w:r>
        <w:rPr/>
        <w:t>“</w:t>
      </w:r>
      <w:r>
        <w:rPr>
          <w:rFonts w:ascii="Times New Roman" w:hAnsi="Times New Roman"/>
          <w:sz w:val="20"/>
          <w:u w:val="single"/>
        </w:rPr>
        <w:t>Company Registered Intellectual Property</w:t>
      </w:r>
      <w:r>
        <w:rPr>
          <w:rFonts w:ascii="Times New Roman" w:hAnsi="Times New Roman"/>
          <w:sz w:val="20"/>
        </w:rPr>
        <w:t xml:space="preserve">” has the meaning set forth in </w:t>
      </w:r>
      <w:r>
        <w:rPr>
          <w:rFonts w:ascii="Times New Roman" w:hAnsi="Times New Roman"/>
          <w:sz w:val="20"/>
          <w:u w:val="single"/>
        </w:rPr>
        <w:t>Section 4.15(a)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Company Subsidiary</w:t>
      </w:r>
      <w:r>
        <w:rPr>
          <w:rFonts w:ascii="Times New Roman" w:hAnsi="Times New Roman"/>
          <w:sz w:val="20"/>
        </w:rPr>
        <w:t xml:space="preserve">” means each Subsidiary of the Company. </w:t>
      </w:r>
    </w:p>
    <w:p>
      <w:pPr>
        <w:pStyle w:val="TextBody"/>
        <w:bidi w:val="0"/>
        <w:spacing w:before="240" w:after="0"/>
        <w:jc w:val="left"/>
        <w:rPr/>
      </w:pPr>
      <w:r>
        <w:rPr/>
        <w:t>“</w:t>
      </w:r>
      <w:r>
        <w:rPr>
          <w:rFonts w:ascii="Times New Roman" w:hAnsi="Times New Roman"/>
          <w:sz w:val="20"/>
          <w:u w:val="single"/>
        </w:rPr>
        <w:t>Company Units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Confidentiality Agreement</w:t>
      </w:r>
      <w:r>
        <w:rPr>
          <w:rFonts w:ascii="Times New Roman" w:hAnsi="Times New Roman"/>
          <w:sz w:val="20"/>
        </w:rPr>
        <w:t xml:space="preserve">” means that certain Confidentiality Agreement, dated June 3, 2025, by and among JDH Capital I, L.P., Savage Firearms, Inc., Parent and Parent’s Affiliates (defined therein), as amended. </w:t>
      </w:r>
    </w:p>
    <w:p>
      <w:pPr>
        <w:pStyle w:val="TextBody"/>
        <w:bidi w:val="0"/>
        <w:spacing w:before="240" w:after="0"/>
        <w:jc w:val="left"/>
        <w:rPr/>
      </w:pPr>
      <w:r>
        <w:rPr/>
        <w:t>“</w:t>
      </w:r>
      <w:r>
        <w:rPr>
          <w:rFonts w:ascii="Times New Roman" w:hAnsi="Times New Roman"/>
          <w:sz w:val="20"/>
          <w:u w:val="single"/>
        </w:rPr>
        <w:t>Consent</w:t>
      </w:r>
      <w:r>
        <w:rPr>
          <w:rFonts w:ascii="Times New Roman" w:hAnsi="Times New Roman"/>
          <w:sz w:val="20"/>
        </w:rPr>
        <w:t xml:space="preserve">” means any consents, waivers, notations, licenses, Permits, certifications, authorizations, ratifications, permissions, exemptions or approvals from, or notification requirements to, any Person other than a member of the Company Group. </w:t>
      </w:r>
    </w:p>
    <w:p>
      <w:pPr>
        <w:pStyle w:val="TextBody"/>
        <w:bidi w:val="0"/>
        <w:spacing w:before="240" w:after="0"/>
        <w:jc w:val="left"/>
        <w:rPr/>
      </w:pPr>
      <w:r>
        <w:rPr/>
        <w:t>“</w:t>
      </w:r>
      <w:r>
        <w:rPr>
          <w:rFonts w:ascii="Times New Roman" w:hAnsi="Times New Roman"/>
          <w:sz w:val="20"/>
          <w:u w:val="single"/>
        </w:rPr>
        <w:t>Contract</w:t>
      </w:r>
      <w:r>
        <w:rPr>
          <w:rFonts w:ascii="Times New Roman" w:hAnsi="Times New Roman"/>
          <w:sz w:val="20"/>
        </w:rPr>
        <w:t xml:space="preserve">” means any oral or written contract, agreement or other legally binding instrument, including any note, bond, mortgage, deed, indenture, commitment, undertaking, promise, lease, sublease, license or sublicense or joint venture. </w:t>
      </w:r>
    </w:p>
    <w:p>
      <w:pPr>
        <w:pStyle w:val="TextBody"/>
        <w:bidi w:val="0"/>
        <w:spacing w:before="240" w:after="0"/>
        <w:jc w:val="left"/>
        <w:rPr/>
      </w:pPr>
      <w:r>
        <w:rPr/>
        <w:t>“</w:t>
      </w:r>
      <w:r>
        <w:rPr>
          <w:rFonts w:ascii="Times New Roman" w:hAnsi="Times New Roman"/>
          <w:sz w:val="20"/>
          <w:u w:val="single"/>
        </w:rPr>
        <w:t>Controlled Group Liability</w:t>
      </w:r>
      <w:r>
        <w:rPr>
          <w:rFonts w:ascii="Times New Roman" w:hAnsi="Times New Roman"/>
          <w:sz w:val="20"/>
        </w:rPr>
        <w:t xml:space="preserve">” means all Liabilities (a) under Section 302 of ERISA, (b) under Title IV of ERISA, (c) under Section 412 or 4971 of the Code and (d) with respect to health, life or other welfare benefits after termination of employment, except as required by Section 4980B of the Code and Part 6 of Subtitle B of Title I of ERISA, in the case of each of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 and (d)</w:t>
      </w:r>
      <w:r>
        <w:rPr>
          <w:rFonts w:ascii="Times New Roman" w:hAnsi="Times New Roman"/>
          <w:sz w:val="20"/>
        </w:rPr>
        <w:t xml:space="preserve">, that are imposed on any member of the Company Group under or in respect of a Company Benefit Plan solely by reason of the treatment of a member of the Company Group as a single employer with another Person as a result of the application of Section 414(b) (c), (m) or (o) of the Code or by reason of the treatment of any member of the Company Group as under common control with another Person as a result of the application of Section 4001(b) of ERISA. </w:t>
      </w:r>
    </w:p>
    <w:p>
      <w:pPr>
        <w:pStyle w:val="TextBody"/>
        <w:bidi w:val="0"/>
        <w:spacing w:before="240" w:after="0"/>
        <w:jc w:val="left"/>
        <w:rPr/>
      </w:pPr>
      <w:r>
        <w:rPr/>
        <w:t>“</w:t>
      </w:r>
      <w:r>
        <w:rPr>
          <w:rFonts w:ascii="Times New Roman" w:hAnsi="Times New Roman"/>
          <w:sz w:val="20"/>
          <w:u w:val="single"/>
        </w:rPr>
        <w:t>D&amp;O Insurance</w:t>
      </w:r>
      <w:r>
        <w:rPr>
          <w:rFonts w:ascii="Times New Roman" w:hAnsi="Times New Roman"/>
          <w:sz w:val="20"/>
        </w:rPr>
        <w:t xml:space="preserve">” has the meaning set forth in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DDTC</w:t>
      </w:r>
      <w:r>
        <w:rPr>
          <w:rFonts w:ascii="Times New Roman" w:hAnsi="Times New Roman"/>
          <w:sz w:val="20"/>
        </w:rPr>
        <w:t xml:space="preserve">” means the U.S. Department of State’s Directorate of Defense Trade Controls. </w:t>
      </w:r>
    </w:p>
    <w:p>
      <w:pPr>
        <w:pStyle w:val="TextBody"/>
        <w:bidi w:val="0"/>
        <w:spacing w:before="240" w:after="0"/>
        <w:jc w:val="left"/>
        <w:rPr/>
      </w:pPr>
      <w:r>
        <w:rPr/>
        <w:t>“</w:t>
      </w:r>
      <w:r>
        <w:rPr>
          <w:rFonts w:ascii="Times New Roman" w:hAnsi="Times New Roman"/>
          <w:sz w:val="20"/>
          <w:u w:val="single"/>
        </w:rPr>
        <w:t>Dispute Notice</w:t>
      </w:r>
      <w:r>
        <w:rPr>
          <w:rFonts w:ascii="Times New Roman" w:hAnsi="Times New Roman"/>
          <w:sz w:val="20"/>
        </w:rPr>
        <w:t xml:space="preserve">” has the meaning set forth in </w:t>
      </w:r>
      <w:r>
        <w:rPr>
          <w:rFonts w:ascii="Times New Roman" w:hAnsi="Times New Roman"/>
          <w:sz w:val="20"/>
          <w:u w:val="single"/>
        </w:rPr>
        <w:t>Section 2.05(b)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Disputed Amounts</w:t>
      </w:r>
      <w:r>
        <w:rPr>
          <w:rFonts w:ascii="Times New Roman" w:hAnsi="Times New Roman"/>
          <w:sz w:val="20"/>
        </w:rPr>
        <w:t xml:space="preserve">” has the meaning set forth in </w:t>
      </w:r>
      <w:r>
        <w:rPr>
          <w:rFonts w:ascii="Times New Roman" w:hAnsi="Times New Roman"/>
          <w:sz w:val="20"/>
          <w:u w:val="single"/>
        </w:rPr>
        <w:t>Section 2.05(b)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DLLC Act</w:t>
      </w:r>
      <w:r>
        <w:rPr>
          <w:rFonts w:ascii="Times New Roman" w:hAnsi="Times New Roman"/>
          <w:sz w:val="20"/>
        </w:rPr>
        <w:t xml:space="preserve">” means the Delaware Limited Liability Company Act. </w:t>
      </w:r>
    </w:p>
    <w:p>
      <w:pPr>
        <w:pStyle w:val="TextBody"/>
        <w:bidi w:val="0"/>
        <w:spacing w:before="240" w:after="0"/>
        <w:jc w:val="left"/>
        <w:rPr/>
      </w:pPr>
      <w:r>
        <w:rPr/>
        <w:t>“</w:t>
      </w:r>
      <w:r>
        <w:rPr>
          <w:rFonts w:ascii="Times New Roman" w:hAnsi="Times New Roman"/>
          <w:sz w:val="20"/>
          <w:u w:val="single"/>
        </w:rPr>
        <w:t>dollars</w:t>
      </w:r>
      <w:r>
        <w:rPr>
          <w:rFonts w:ascii="Times New Roman" w:hAnsi="Times New Roman"/>
          <w:sz w:val="20"/>
        </w:rPr>
        <w:t xml:space="preserve">” or “$” means lawful money of the United States of America. </w:t>
      </w:r>
    </w:p>
    <w:p>
      <w:pPr>
        <w:pStyle w:val="TextBody"/>
        <w:bidi w:val="0"/>
        <w:spacing w:before="240" w:after="0"/>
        <w:jc w:val="left"/>
        <w:rPr/>
      </w:pPr>
      <w:r>
        <w:rPr/>
        <w:t>“</w:t>
      </w:r>
      <w:r>
        <w:rPr>
          <w:rFonts w:ascii="Times New Roman" w:hAnsi="Times New Roman"/>
          <w:sz w:val="20"/>
          <w:u w:val="single"/>
        </w:rPr>
        <w:t>Domain Names</w:t>
      </w:r>
      <w:r>
        <w:rPr>
          <w:rFonts w:ascii="Times New Roman" w:hAnsi="Times New Roman"/>
          <w:sz w:val="20"/>
        </w:rPr>
        <w:t xml:space="preserve">” means Internet domain names, URLs, and social media identifiers, handles, and tags. </w:t>
      </w:r>
    </w:p>
    <w:p>
      <w:pPr>
        <w:pStyle w:val="TextBody"/>
        <w:bidi w:val="0"/>
        <w:spacing w:before="240" w:after="0"/>
        <w:jc w:val="left"/>
        <w:rPr/>
      </w:pPr>
      <w:r>
        <w:rPr/>
        <w:t>“</w:t>
      </w:r>
      <w:r>
        <w:rPr>
          <w:rFonts w:ascii="Times New Roman" w:hAnsi="Times New Roman"/>
          <w:sz w:val="20"/>
          <w:u w:val="single"/>
        </w:rPr>
        <w:t>Effective Time</w:t>
      </w:r>
      <w:r>
        <w:rPr>
          <w:rFonts w:ascii="Times New Roman" w:hAnsi="Times New Roman"/>
          <w:sz w:val="20"/>
        </w:rPr>
        <w:t xml:space="preserve">” has the meaning set forth in </w:t>
      </w:r>
      <w:r>
        <w:rPr>
          <w:rFonts w:ascii="Times New Roman" w:hAnsi="Times New Roman"/>
          <w:sz w:val="20"/>
          <w:u w:val="single"/>
        </w:rPr>
        <w:t>Section 1.03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Environmental Laws</w:t>
      </w:r>
      <w:r>
        <w:rPr>
          <w:rFonts w:ascii="Times New Roman" w:hAnsi="Times New Roman"/>
          <w:sz w:val="20"/>
        </w:rPr>
        <w:t xml:space="preserve">” means all Laws relating to pollution or the protection of the environment, including but not limited to those Laws relating to the generation, handling, storage, distribution, treatment, transport or Release of, or exposure to, any Hazardous Materials, including the Clean Air Act, 42 U.S.C. § 7401 et seq., the Clean Water Act, 33 U.S.C. § 1251 et seq., the Resource Conservation Recovery Act, 42 U.S.C. § 6901 et seq., the Toxic Substances Control Act, 15 U.S.C. § 2601 et seq., the Comprehensive Environmental Response, Compensation and Liability Act, 42 U.S.C. § 9601 et seq., the Emergency Planning and Community Right-To-Know Act, 42 U.S.C. § 11001 et seq., the Occupational Safety and Health Act, 29 U.S.C. § 651 et seq., the Hazardous Materials Transportation Act, 49 U.S.C. § 1801 et seq., and any similar or implementing federal, state, provincial or local laws. </w:t>
      </w:r>
    </w:p>
    <w:p>
      <w:pPr>
        <w:pStyle w:val="TextBody"/>
        <w:bidi w:val="0"/>
        <w:spacing w:before="240" w:after="0"/>
        <w:jc w:val="left"/>
        <w:rPr/>
      </w:pPr>
      <w:r>
        <w:rPr/>
        <w:t>“</w:t>
      </w:r>
      <w:r>
        <w:rPr>
          <w:rFonts w:ascii="Times New Roman" w:hAnsi="Times New Roman"/>
          <w:sz w:val="20"/>
          <w:u w:val="single"/>
        </w:rPr>
        <w:t>Environmental Permit</w:t>
      </w:r>
      <w:r>
        <w:rPr>
          <w:rFonts w:ascii="Times New Roman" w:hAnsi="Times New Roman"/>
          <w:sz w:val="20"/>
        </w:rPr>
        <w:t xml:space="preserve">” means any Permit issued or required pursuant to Environmental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Equity Interest</w:t>
      </w:r>
      <w:r>
        <w:rPr>
          <w:rFonts w:ascii="Times New Roman" w:hAnsi="Times New Roman"/>
          <w:sz w:val="20"/>
        </w:rPr>
        <w:t xml:space="preserve">” means, with respect to any Person, (a) any capital stock, partnership or membership interest, unit of participation or other equity interest (however designated) in such Person, including joint venture interests, beneficial interests, and the right to receive a share of the profits and losses of, or a distribution of assets of, a Person or a right to control such Person, (b) any option, warrant, purchase right, conversion right, exchange right or other Contract which would entitle any other Person to purchase or otherwise acquire any such interest described in </w:t>
      </w:r>
      <w:r>
        <w:rPr>
          <w:rFonts w:ascii="Times New Roman" w:hAnsi="Times New Roman"/>
          <w:sz w:val="20"/>
          <w:u w:val="single"/>
        </w:rPr>
        <w:t>clause (a)</w:t>
      </w:r>
      <w:r>
        <w:rPr>
          <w:rFonts w:ascii="Times New Roman" w:hAnsi="Times New Roman"/>
          <w:sz w:val="20"/>
        </w:rPr>
        <w:t xml:space="preserve"> in such Person, and (c) any stock appreciation, profits sharing, phantom stock, equity participation rights and similar rights in such Person.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as amended. </w:t>
      </w:r>
    </w:p>
    <w:p>
      <w:pPr>
        <w:pStyle w:val="TextBody"/>
        <w:bidi w:val="0"/>
        <w:spacing w:before="240" w:after="0"/>
        <w:jc w:val="left"/>
        <w:rPr/>
      </w:pPr>
      <w:r>
        <w:rPr/>
        <w:t>“</w:t>
      </w:r>
      <w:r>
        <w:rPr>
          <w:rFonts w:ascii="Times New Roman" w:hAnsi="Times New Roman"/>
          <w:sz w:val="20"/>
          <w:u w:val="single"/>
        </w:rPr>
        <w:t>ERISA Affiliate</w:t>
      </w:r>
      <w:r>
        <w:rPr>
          <w:rFonts w:ascii="Times New Roman" w:hAnsi="Times New Roman"/>
          <w:sz w:val="20"/>
        </w:rPr>
        <w:t xml:space="preserve">” means any Person that would be deemed at any relevant time to be (a) a single employer with the Company or any member of the Company Group pursuant to Section 414(b), (c), (m) or (o) of the Code or (b) under common control with a member of the Company Group under Section 4001 of ERISA. </w:t>
      </w:r>
    </w:p>
    <w:p>
      <w:pPr>
        <w:pStyle w:val="TextBody"/>
        <w:bidi w:val="0"/>
        <w:spacing w:before="240" w:after="0"/>
        <w:jc w:val="left"/>
        <w:rPr/>
      </w:pPr>
      <w:r>
        <w:rPr/>
        <w:t>“</w:t>
      </w:r>
      <w:r>
        <w:rPr>
          <w:rFonts w:ascii="Times New Roman" w:hAnsi="Times New Roman"/>
          <w:sz w:val="20"/>
          <w:u w:val="single"/>
        </w:rPr>
        <w:t>Estimated Aggregate Consideration</w:t>
      </w:r>
      <w:r>
        <w:rPr>
          <w:rFonts w:ascii="Times New Roman" w:hAnsi="Times New Roman"/>
          <w:sz w:val="20"/>
        </w:rPr>
        <w:t xml:space="preserve">” means $164,849,504.30, representing the combined value of (a) the Estimated Common Consideration Shares measured at the Reference Price per share, and (b) the Estimated Cash Consideration. </w:t>
      </w:r>
    </w:p>
    <w:p>
      <w:pPr>
        <w:pStyle w:val="TextBody"/>
        <w:bidi w:val="0"/>
        <w:spacing w:before="240" w:after="0"/>
        <w:jc w:val="left"/>
        <w:rPr/>
      </w:pPr>
      <w:r>
        <w:rPr/>
        <w:t>“</w:t>
      </w:r>
      <w:r>
        <w:rPr>
          <w:rFonts w:ascii="Times New Roman" w:hAnsi="Times New Roman"/>
          <w:sz w:val="20"/>
          <w:u w:val="single"/>
        </w:rPr>
        <w:t>Estimated Cash Consideration</w:t>
      </w:r>
      <w:r>
        <w:rPr>
          <w:rFonts w:ascii="Times New Roman" w:hAnsi="Times New Roman"/>
          <w:sz w:val="20"/>
        </w:rPr>
        <w:t xml:space="preserve">” means an amount in cash equal to $42,351,660.14. </w:t>
      </w:r>
    </w:p>
    <w:p>
      <w:pPr>
        <w:pStyle w:val="TextBody"/>
        <w:bidi w:val="0"/>
        <w:spacing w:before="240" w:after="0"/>
        <w:jc w:val="left"/>
        <w:rPr/>
      </w:pPr>
      <w:r>
        <w:rPr/>
        <w:t>“</w:t>
      </w:r>
      <w:r>
        <w:rPr>
          <w:rFonts w:ascii="Times New Roman" w:hAnsi="Times New Roman"/>
          <w:sz w:val="20"/>
          <w:u w:val="single"/>
        </w:rPr>
        <w:t>Estimated Closing Indebtedness</w:t>
      </w:r>
      <w:r>
        <w:rPr>
          <w:rFonts w:ascii="Times New Roman" w:hAnsi="Times New Roman"/>
          <w:sz w:val="20"/>
        </w:rPr>
        <w:t xml:space="preserve">” means Seller’s good faith estimate of Closing Indebtedness as of immediately prior to Closing, as set forth in the Estimated Closing Statement to be delivered pursuant to </w:t>
      </w:r>
      <w:r>
        <w:rPr>
          <w:rFonts w:ascii="Times New Roman" w:hAnsi="Times New Roman"/>
          <w:sz w:val="20"/>
          <w:u w:val="single"/>
        </w:rPr>
        <w:t>Section 2.05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Estimated Closing Net Working Capital</w:t>
      </w:r>
      <w:r>
        <w:rPr>
          <w:rFonts w:ascii="Times New Roman" w:hAnsi="Times New Roman"/>
          <w:sz w:val="20"/>
        </w:rPr>
        <w:t xml:space="preserve">” means Seller’s good faith estimate of Closing Net Working Capital as of immediately prior to the Effective Time, as set forth in the Estimated Closing Statement to be delivered pursuant to </w:t>
      </w:r>
      <w:r>
        <w:rPr>
          <w:rFonts w:ascii="Times New Roman" w:hAnsi="Times New Roman"/>
          <w:sz w:val="20"/>
          <w:u w:val="single"/>
        </w:rPr>
        <w:t>Section 2.05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Estimated Closing Transaction Expenses</w:t>
      </w:r>
      <w:r>
        <w:rPr>
          <w:rFonts w:ascii="Times New Roman" w:hAnsi="Times New Roman"/>
          <w:sz w:val="20"/>
        </w:rPr>
        <w:t xml:space="preserve">” means Seller’s good faith estimate of Closing Transaction Expenses that are unpaid as of immediately prior to the Effective Time, as set forth in the Estimated Closing Statement to be delivered pursuant to </w:t>
      </w:r>
      <w:r>
        <w:rPr>
          <w:rFonts w:ascii="Times New Roman" w:hAnsi="Times New Roman"/>
          <w:sz w:val="20"/>
          <w:u w:val="single"/>
        </w:rPr>
        <w:t>Section 2.05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Estimated Closing Statement</w:t>
      </w:r>
      <w:r>
        <w:rPr>
          <w:rFonts w:ascii="Times New Roman" w:hAnsi="Times New Roman"/>
          <w:sz w:val="20"/>
        </w:rPr>
        <w:t xml:space="preserve">” has the meaning given to such term in </w:t>
      </w:r>
      <w:r>
        <w:rPr>
          <w:rFonts w:ascii="Times New Roman" w:hAnsi="Times New Roman"/>
          <w:sz w:val="20"/>
          <w:u w:val="single"/>
        </w:rPr>
        <w:t>Section 2.05(a)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Estimated Common Consideration Shares</w:t>
      </w:r>
      <w:r>
        <w:rPr>
          <w:rFonts w:ascii="Times New Roman" w:hAnsi="Times New Roman"/>
          <w:sz w:val="20"/>
        </w:rPr>
        <w:t xml:space="preserve">” means 8,993,968 shares of fully paid and non-assessable Parent Common Stock, which for the avoidance of doubt, shall not exceed the Common Stock Consideration Cap. </w:t>
      </w:r>
    </w:p>
    <w:p>
      <w:pPr>
        <w:pStyle w:val="TextBody"/>
        <w:bidi w:val="0"/>
        <w:spacing w:before="240" w:after="0"/>
        <w:jc w:val="left"/>
        <w:rPr/>
      </w:pPr>
      <w:r>
        <w:rPr/>
        <w:t>“</w:t>
      </w:r>
      <w:r>
        <w:rPr>
          <w:rFonts w:ascii="Times New Roman" w:hAnsi="Times New Roman"/>
          <w:sz w:val="20"/>
          <w:u w:val="single"/>
        </w:rPr>
        <w:t>Estimated Excess Closing Cash</w:t>
      </w:r>
      <w:r>
        <w:rPr>
          <w:rFonts w:ascii="Times New Roman" w:hAnsi="Times New Roman"/>
          <w:sz w:val="20"/>
        </w:rPr>
        <w:t xml:space="preserve">” means Seller’s good faith estimate of Excess Closing Cash as of immediately prior to the Effective Time, as set forth in the Estimated Closing Statement to be delivered pursuant to </w:t>
      </w:r>
      <w:r>
        <w:rPr>
          <w:rFonts w:ascii="Times New Roman" w:hAnsi="Times New Roman"/>
          <w:sz w:val="20"/>
          <w:u w:val="single"/>
        </w:rPr>
        <w:t>Section 2.05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Events</w:t>
      </w:r>
      <w:r>
        <w:rPr>
          <w:rFonts w:ascii="Times New Roman" w:hAnsi="Times New Roman"/>
          <w:sz w:val="20"/>
        </w:rPr>
        <w:t xml:space="preserve">” has the meaning set forth in the definition of “Company Material Adverse Effect.”. </w:t>
      </w:r>
    </w:p>
    <w:p>
      <w:pPr>
        <w:pStyle w:val="TextBody"/>
        <w:bidi w:val="0"/>
        <w:spacing w:before="240" w:after="0"/>
        <w:jc w:val="left"/>
        <w:rPr/>
      </w:pPr>
      <w:r>
        <w:rPr/>
        <w:t>“</w:t>
      </w:r>
      <w:r>
        <w:rPr>
          <w:rFonts w:ascii="Times New Roman" w:hAnsi="Times New Roman"/>
          <w:sz w:val="20"/>
          <w:u w:val="single"/>
        </w:rPr>
        <w:t>Excess Closing Cash</w:t>
      </w:r>
      <w:r>
        <w:rPr>
          <w:rFonts w:ascii="Times New Roman" w:hAnsi="Times New Roman"/>
          <w:sz w:val="20"/>
        </w:rPr>
        <w:t xml:space="preserve">” means Available Cash as of immediately prior to the Effective Time, </w:t>
      </w:r>
      <w:r>
        <w:rPr>
          <w:rFonts w:ascii="Times New Roman" w:hAnsi="Times New Roman"/>
          <w:i/>
          <w:sz w:val="20"/>
        </w:rPr>
        <w:t>minus</w:t>
      </w:r>
      <w:r>
        <w:rPr>
          <w:rFonts w:ascii="Times New Roman" w:hAnsi="Times New Roman"/>
          <w:sz w:val="20"/>
        </w:rPr>
        <w:t xml:space="preserve"> the Minimum Cash Balance. Excess Closing Cash may be a positive or a negative number.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means the Securities Exchange Act of 1934. </w:t>
      </w:r>
    </w:p>
    <w:p>
      <w:pPr>
        <w:pStyle w:val="TextBody"/>
        <w:bidi w:val="0"/>
        <w:spacing w:before="240" w:after="0"/>
        <w:jc w:val="left"/>
        <w:rPr/>
      </w:pPr>
      <w:r>
        <w:rPr/>
        <w:t>“</w:t>
      </w:r>
      <w:r>
        <w:rPr>
          <w:rFonts w:ascii="Times New Roman" w:hAnsi="Times New Roman"/>
          <w:sz w:val="20"/>
          <w:u w:val="single"/>
        </w:rPr>
        <w:t>Expiration Date</w:t>
      </w:r>
      <w:r>
        <w:rPr>
          <w:rFonts w:ascii="Times New Roman" w:hAnsi="Times New Roman"/>
          <w:sz w:val="20"/>
        </w:rPr>
        <w:t xml:space="preserve">” means the date on which any representation, warranty, or covenant herein shall expire pursuant to </w:t>
      </w:r>
      <w:r>
        <w:rPr>
          <w:rFonts w:ascii="Times New Roman" w:hAnsi="Times New Roman"/>
          <w:sz w:val="20"/>
          <w:u w:val="single"/>
        </w:rPr>
        <w:t>Section 8.01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Facilities</w:t>
      </w:r>
      <w:r>
        <w:rPr>
          <w:rFonts w:ascii="Times New Roman" w:hAnsi="Times New Roman"/>
          <w:sz w:val="20"/>
        </w:rPr>
        <w:t xml:space="preserve">” means any buildings, fixtures, improvements or structures (including heating, ventilation, air conditioning, plumbing, drainage and electrical systems, roof, foundation and floors) located on the Company Real Property. </w:t>
      </w:r>
    </w:p>
    <w:p>
      <w:pPr>
        <w:pStyle w:val="TextBody"/>
        <w:bidi w:val="0"/>
        <w:spacing w:before="240" w:after="0"/>
        <w:jc w:val="left"/>
        <w:rPr/>
      </w:pPr>
      <w:r>
        <w:rPr/>
        <w:t>“</w:t>
      </w:r>
      <w:r>
        <w:rPr>
          <w:rFonts w:ascii="Times New Roman" w:hAnsi="Times New Roman"/>
          <w:sz w:val="20"/>
          <w:u w:val="single"/>
        </w:rPr>
        <w:t>FCPA</w:t>
      </w:r>
      <w:r>
        <w:rPr>
          <w:rFonts w:ascii="Times New Roman" w:hAnsi="Times New Roman"/>
          <w:sz w:val="20"/>
        </w:rPr>
        <w:t xml:space="preserve">” means the U.S. Foreign Corrupt Practices Act of 1977. </w:t>
      </w:r>
    </w:p>
    <w:p>
      <w:pPr>
        <w:pStyle w:val="TextBody"/>
        <w:bidi w:val="0"/>
        <w:spacing w:before="240" w:after="0"/>
        <w:jc w:val="left"/>
        <w:rPr/>
      </w:pPr>
      <w:r>
        <w:rPr/>
        <w:t>“</w:t>
      </w:r>
      <w:r>
        <w:rPr>
          <w:rFonts w:ascii="Times New Roman" w:hAnsi="Times New Roman"/>
          <w:sz w:val="20"/>
          <w:u w:val="single"/>
        </w:rPr>
        <w:t>Final Aggregate Consideration</w:t>
      </w:r>
      <w:r>
        <w:rPr>
          <w:rFonts w:ascii="Times New Roman" w:hAnsi="Times New Roman"/>
          <w:sz w:val="20"/>
        </w:rPr>
        <w:t xml:space="preserve">” means an amount equal to (a) the Base Transaction Value, </w:t>
      </w:r>
      <w:r>
        <w:rPr>
          <w:rFonts w:ascii="Times New Roman" w:hAnsi="Times New Roman"/>
          <w:i/>
          <w:sz w:val="20"/>
        </w:rPr>
        <w:t>minus</w:t>
      </w:r>
      <w:r>
        <w:rPr>
          <w:rFonts w:ascii="Times New Roman" w:hAnsi="Times New Roman"/>
          <w:sz w:val="20"/>
        </w:rPr>
        <w:t xml:space="preserve"> (b) the Closing Indebtedness, </w:t>
      </w:r>
      <w:r>
        <w:rPr>
          <w:rFonts w:ascii="Times New Roman" w:hAnsi="Times New Roman"/>
          <w:i/>
          <w:sz w:val="20"/>
        </w:rPr>
        <w:t xml:space="preserve">plus </w:t>
      </w:r>
      <w:r>
        <w:rPr>
          <w:rFonts w:ascii="Times New Roman" w:hAnsi="Times New Roman"/>
          <w:sz w:val="20"/>
        </w:rPr>
        <w:t xml:space="preserve">(c) the difference (which can be a positive or a negative number) of (A) the Excess Closing Cash, </w:t>
      </w:r>
      <w:r>
        <w:rPr>
          <w:rFonts w:ascii="Times New Roman" w:hAnsi="Times New Roman"/>
          <w:i/>
          <w:sz w:val="20"/>
        </w:rPr>
        <w:t>minus</w:t>
      </w:r>
      <w:r>
        <w:rPr>
          <w:rFonts w:ascii="Times New Roman" w:hAnsi="Times New Roman"/>
          <w:sz w:val="20"/>
        </w:rPr>
        <w:t xml:space="preserve"> (B) the Closing Transaction Expenses, </w:t>
      </w:r>
      <w:r>
        <w:rPr>
          <w:rFonts w:ascii="Times New Roman" w:hAnsi="Times New Roman"/>
          <w:i/>
          <w:sz w:val="20"/>
        </w:rPr>
        <w:t>plus</w:t>
      </w:r>
      <w:r>
        <w:rPr>
          <w:rFonts w:ascii="Times New Roman" w:hAnsi="Times New Roman"/>
          <w:sz w:val="20"/>
        </w:rPr>
        <w:t xml:space="preserve"> (d) the Minimum Cash Balance, </w:t>
      </w:r>
      <w:r>
        <w:rPr>
          <w:rFonts w:ascii="Times New Roman" w:hAnsi="Times New Roman"/>
          <w:i/>
          <w:sz w:val="20"/>
        </w:rPr>
        <w:t>plus</w:t>
      </w:r>
      <w:r>
        <w:rPr>
          <w:rFonts w:ascii="Times New Roman" w:hAnsi="Times New Roman"/>
          <w:sz w:val="20"/>
        </w:rPr>
        <w:t xml:space="preserve"> (e) the Net Working Capital Surplus (if any), </w:t>
      </w:r>
      <w:r>
        <w:rPr>
          <w:rFonts w:ascii="Times New Roman" w:hAnsi="Times New Roman"/>
          <w:i/>
          <w:sz w:val="20"/>
        </w:rPr>
        <w:t>minus</w:t>
      </w:r>
      <w:r>
        <w:rPr>
          <w:rFonts w:ascii="Times New Roman" w:hAnsi="Times New Roman"/>
          <w:sz w:val="20"/>
        </w:rPr>
        <w:t xml:space="preserve"> (f) the Net Working Capital Deficit (if any). </w:t>
      </w:r>
    </w:p>
    <w:p>
      <w:pPr>
        <w:pStyle w:val="TextBody"/>
        <w:bidi w:val="0"/>
        <w:spacing w:before="240" w:after="0"/>
        <w:jc w:val="left"/>
        <w:rPr/>
      </w:pPr>
      <w:r>
        <w:rPr/>
        <w:t>“</w:t>
      </w:r>
      <w:r>
        <w:rPr>
          <w:rFonts w:ascii="Times New Roman" w:hAnsi="Times New Roman"/>
          <w:sz w:val="20"/>
          <w:u w:val="single"/>
        </w:rPr>
        <w:t>First Certificate of Merger</w:t>
      </w:r>
      <w:r>
        <w:rPr>
          <w:rFonts w:ascii="Times New Roman" w:hAnsi="Times New Roman"/>
          <w:sz w:val="20"/>
        </w:rPr>
        <w:t xml:space="preserve">” has the meaning set forth in </w:t>
      </w:r>
      <w:r>
        <w:rPr>
          <w:rFonts w:ascii="Times New Roman" w:hAnsi="Times New Roman"/>
          <w:sz w:val="20"/>
          <w:u w:val="single"/>
        </w:rPr>
        <w:t>Section 1.03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Fraud</w:t>
      </w:r>
      <w:r>
        <w:rPr>
          <w:rFonts w:ascii="Times New Roman" w:hAnsi="Times New Roman"/>
          <w:sz w:val="20"/>
        </w:rPr>
        <w:t xml:space="preserve">” means a knowing misrepresentation of material fact in the making of any representation or warranty by a Party in </w:t>
      </w:r>
      <w:r>
        <w:rPr>
          <w:rFonts w:ascii="Times New Roman" w:hAnsi="Times New Roman"/>
          <w:sz w:val="20"/>
          <w:u w:val="single"/>
        </w:rPr>
        <w:t>Article III</w:t>
      </w:r>
      <w:r>
        <w:rPr>
          <w:rFonts w:ascii="Times New Roman" w:hAnsi="Times New Roman"/>
          <w:sz w:val="20"/>
        </w:rPr>
        <w:t xml:space="preserve">, </w:t>
      </w:r>
      <w:r>
        <w:rPr>
          <w:rFonts w:ascii="Times New Roman" w:hAnsi="Times New Roman"/>
          <w:sz w:val="20"/>
          <w:u w:val="single"/>
        </w:rPr>
        <w:t>Article IV</w:t>
      </w:r>
      <w:r>
        <w:rPr>
          <w:rFonts w:ascii="Times New Roman" w:hAnsi="Times New Roman"/>
          <w:sz w:val="20"/>
        </w:rPr>
        <w:t xml:space="preserve"> or </w:t>
      </w:r>
      <w:r>
        <w:rPr>
          <w:rFonts w:ascii="Times New Roman" w:hAnsi="Times New Roman"/>
          <w:sz w:val="20"/>
          <w:u w:val="single"/>
        </w:rPr>
        <w:t>Article V</w:t>
      </w:r>
      <w:r>
        <w:rPr>
          <w:rFonts w:ascii="Times New Roman" w:hAnsi="Times New Roman"/>
          <w:sz w:val="20"/>
        </w:rPr>
        <w:t xml:space="preserve">, as modified by the Company Disclosure Letter, as applicable, or in any certificate or Transaction Document (including the Seller Parent Guaranty) delivered pursuant to this Agreement (but not, for the avoidance of doubt, in any other actual or alleged representation or warranty made orally or in writing), which is made with the specific intent of inducing another Party to enter into this Agreement, and upon which such other Party has relied (and does not include any fraud claim based on constructive knowledge, negligent misrepresentation, recklessness or a similar theory) and such Party did so rely thereon and suffered actual Losses as a result thereof. </w:t>
      </w:r>
    </w:p>
    <w:p>
      <w:pPr>
        <w:pStyle w:val="TextBody"/>
        <w:bidi w:val="0"/>
        <w:spacing w:before="240" w:after="0"/>
        <w:jc w:val="left"/>
        <w:rPr/>
      </w:pPr>
      <w:r>
        <w:rPr/>
        <w:t>“</w:t>
      </w:r>
      <w:r>
        <w:rPr>
          <w:rFonts w:ascii="Times New Roman" w:hAnsi="Times New Roman"/>
          <w:sz w:val="20"/>
          <w:u w:val="single"/>
        </w:rPr>
        <w:t>Fundamental Representations</w:t>
      </w:r>
      <w:r>
        <w:rPr>
          <w:rFonts w:ascii="Times New Roman" w:hAnsi="Times New Roman"/>
          <w:sz w:val="20"/>
        </w:rPr>
        <w:t xml:space="preserve">” means </w:t>
      </w:r>
      <w:r>
        <w:rPr>
          <w:rFonts w:ascii="Times New Roman" w:hAnsi="Times New Roman"/>
          <w:sz w:val="20"/>
          <w:u w:val="single"/>
        </w:rPr>
        <w:t>Section 4.01</w:t>
      </w:r>
      <w:r>
        <w:rPr>
          <w:rFonts w:ascii="Times New Roman" w:hAnsi="Times New Roman"/>
          <w:sz w:val="20"/>
        </w:rPr>
        <w:t xml:space="preserve"> (Organization; Standing and Power),</w:t>
      </w:r>
      <w:r>
        <w:rPr>
          <w:rFonts w:ascii="Times New Roman" w:hAnsi="Times New Roman"/>
          <w:sz w:val="20"/>
          <w:u w:val="single"/>
        </w:rPr>
        <w:t xml:space="preserve"> Section 4.02</w:t>
      </w:r>
      <w:r>
        <w:rPr>
          <w:rFonts w:ascii="Times New Roman" w:hAnsi="Times New Roman"/>
          <w:sz w:val="20"/>
        </w:rPr>
        <w:t xml:space="preserve"> (Capitalization; Subsidiaries), </w:t>
      </w:r>
      <w:r>
        <w:rPr>
          <w:rFonts w:ascii="Times New Roman" w:hAnsi="Times New Roman"/>
          <w:sz w:val="20"/>
          <w:u w:val="single"/>
        </w:rPr>
        <w:t>Section 4.03</w:t>
      </w:r>
      <w:r>
        <w:rPr>
          <w:rFonts w:ascii="Times New Roman" w:hAnsi="Times New Roman"/>
          <w:sz w:val="20"/>
        </w:rPr>
        <w:t xml:space="preserve"> (Authorization; Enforceability), Clause (b) of </w:t>
      </w:r>
      <w:r>
        <w:rPr>
          <w:rFonts w:ascii="Times New Roman" w:hAnsi="Times New Roman"/>
          <w:sz w:val="20"/>
          <w:u w:val="single"/>
        </w:rPr>
        <w:t>Section 4.05</w:t>
      </w:r>
      <w:r>
        <w:rPr>
          <w:rFonts w:ascii="Times New Roman" w:hAnsi="Times New Roman"/>
          <w:sz w:val="20"/>
        </w:rPr>
        <w:t xml:space="preserve"> (Noncontravention), </w:t>
      </w:r>
      <w:r>
        <w:rPr>
          <w:rFonts w:ascii="Times New Roman" w:hAnsi="Times New Roman"/>
          <w:sz w:val="20"/>
          <w:u w:val="single"/>
        </w:rPr>
        <w:t>Section 4.20</w:t>
      </w:r>
      <w:r>
        <w:rPr>
          <w:rFonts w:ascii="Times New Roman" w:hAnsi="Times New Roman"/>
          <w:sz w:val="20"/>
        </w:rPr>
        <w:t xml:space="preserve"> (Brokers), and </w:t>
      </w:r>
      <w:r>
        <w:rPr>
          <w:rFonts w:ascii="Times New Roman" w:hAnsi="Times New Roman"/>
          <w:sz w:val="20"/>
          <w:u w:val="single"/>
        </w:rPr>
        <w:t>Section 5.06</w:t>
      </w:r>
      <w:r>
        <w:rPr>
          <w:rFonts w:ascii="Times New Roman" w:hAnsi="Times New Roman"/>
          <w:sz w:val="20"/>
        </w:rPr>
        <w:t xml:space="preserve"> (Brokers).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means generally accepted accounting principles in effect in the United States at the relevant time. </w:t>
      </w:r>
    </w:p>
    <w:p>
      <w:pPr>
        <w:pStyle w:val="TextBody"/>
        <w:bidi w:val="0"/>
        <w:spacing w:before="240" w:after="0"/>
        <w:jc w:val="left"/>
        <w:rPr/>
      </w:pPr>
      <w:r>
        <w:rPr/>
        <w:t>“</w:t>
      </w:r>
      <w:r>
        <w:rPr>
          <w:rFonts w:ascii="Times New Roman" w:hAnsi="Times New Roman"/>
          <w:sz w:val="20"/>
          <w:u w:val="single"/>
        </w:rPr>
        <w:t>GDPR</w:t>
      </w:r>
      <w:r>
        <w:rPr>
          <w:rFonts w:ascii="Times New Roman" w:hAnsi="Times New Roman"/>
          <w:sz w:val="20"/>
        </w:rPr>
        <w:t xml:space="preserve">” has the meaning set forth in </w:t>
      </w:r>
      <w:r>
        <w:rPr>
          <w:rFonts w:ascii="Times New Roman" w:hAnsi="Times New Roman"/>
          <w:sz w:val="20"/>
          <w:u w:val="single"/>
        </w:rPr>
        <w:t>Section 9.16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Global Trade Laws</w:t>
      </w:r>
      <w:r>
        <w:rPr>
          <w:rFonts w:ascii="Times New Roman" w:hAnsi="Times New Roman"/>
          <w:sz w:val="20"/>
        </w:rPr>
        <w:t xml:space="preserve">” means the applicable Sanctions, export, import, customs and anti-boycott Laws of any jurisdiction in which the Company or any of its Subsidiaries is organized or does business, including, to the extent applicable: (a) the Export Administration Regulations administered by the U.S. Commerce Department’s Bureau of Industry and Security, (b) the ITAR administered by the U.S. State Department’s Directorate of Defense Trade Controls, (c) the import laws administered by U.S. Customs and Border Protection, (d) the economic sanctions rules and regulations administered by OFAC and the U.S. Department of State, (e) United Nations sanctions policies, (f) the Canadian Trade Laws, and (g) all relevant regulations promulgated under any of the foregoing. </w:t>
      </w:r>
    </w:p>
    <w:p>
      <w:pPr>
        <w:pStyle w:val="TextBody"/>
        <w:bidi w:val="0"/>
        <w:spacing w:before="240" w:after="0"/>
        <w:jc w:val="left"/>
        <w:rPr/>
      </w:pPr>
      <w:r>
        <w:rPr/>
        <w:t>“</w:t>
      </w:r>
      <w:r>
        <w:rPr>
          <w:rFonts w:ascii="Times New Roman" w:hAnsi="Times New Roman"/>
          <w:sz w:val="20"/>
          <w:u w:val="single"/>
        </w:rPr>
        <w:t>Government Bid</w:t>
      </w:r>
      <w:r>
        <w:rPr>
          <w:rFonts w:ascii="Times New Roman" w:hAnsi="Times New Roman"/>
          <w:sz w:val="20"/>
        </w:rPr>
        <w:t xml:space="preserve">” means any offer, quotation or bid which, if accepted or awarded, would lead to a Government Contract for the sale of goods or the provision of services. </w:t>
      </w:r>
    </w:p>
    <w:p>
      <w:pPr>
        <w:pStyle w:val="TextBody"/>
        <w:bidi w:val="0"/>
        <w:spacing w:before="240" w:after="0"/>
        <w:jc w:val="left"/>
        <w:rPr/>
      </w:pPr>
      <w:r>
        <w:rPr/>
        <w:t>“</w:t>
      </w:r>
      <w:r>
        <w:rPr>
          <w:rFonts w:ascii="Times New Roman" w:hAnsi="Times New Roman"/>
          <w:sz w:val="20"/>
          <w:u w:val="single"/>
        </w:rPr>
        <w:t>Government Contract</w:t>
      </w:r>
      <w:r>
        <w:rPr>
          <w:rFonts w:ascii="Times New Roman" w:hAnsi="Times New Roman"/>
          <w:sz w:val="20"/>
        </w:rPr>
        <w:t xml:space="preserve">” means any prime contract, subcontract, joint venture, basic ordering agreement, blanket purchase agreement, letter agreement, grant, cooperative agreement or other commitment or funding vehicle between the Company or any Company Subsidiary and (a) a Governmental Authority, (b) any prime contractor to a Governmental Authority in its capacity as a prime contractor or (c) any subcontractor with respect to any contract described in </w:t>
      </w:r>
      <w:r>
        <w:rPr>
          <w:rFonts w:ascii="Times New Roman" w:hAnsi="Times New Roman"/>
          <w:sz w:val="20"/>
          <w:u w:val="single"/>
        </w:rPr>
        <w:t>clause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 purchase, task, or delivery order issued under a Government Contract shall not constitute a separate Government Contract, for purposes of this definition, but shall be part of the Government Contract to which it relates.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Governmental Approval</w:t>
      </w:r>
      <w:r>
        <w:rPr>
          <w:rFonts w:ascii="Times New Roman" w:hAnsi="Times New Roman"/>
          <w:sz w:val="20"/>
        </w:rPr>
        <w:t xml:space="preserve">” means any notices, reports or other filings to be given to or made with, or any Consents, registrations, permits or licenses to be obtained from, any Governmental Authority. </w:t>
      </w:r>
    </w:p>
    <w:p>
      <w:pPr>
        <w:pStyle w:val="TextBody"/>
        <w:bidi w:val="0"/>
        <w:spacing w:before="240" w:after="0"/>
        <w:jc w:val="left"/>
        <w:rPr/>
      </w:pPr>
      <w:r>
        <w:rPr/>
        <w:t>“</w:t>
      </w:r>
      <w:r>
        <w:rPr>
          <w:rFonts w:ascii="Times New Roman" w:hAnsi="Times New Roman"/>
          <w:sz w:val="20"/>
          <w:u w:val="single"/>
        </w:rPr>
        <w:t>Governmental Authority</w:t>
      </w:r>
      <w:r>
        <w:rPr>
          <w:rFonts w:ascii="Times New Roman" w:hAnsi="Times New Roman"/>
          <w:sz w:val="20"/>
        </w:rPr>
        <w:t xml:space="preserve">” means any government, court, arbitrator, department, commission, board, branch, office, official, entity, tribunal bureau, agency, authority, instrumentality or other body exercising administrative, judicial, quasi-judicial, legislative, self-regulatory, police, taxing, executive or other government instrumentality or powers, whether U.S. national, federal, state, local, municipal, county, district, provincial, territorial, commonwealth, foreign or otherwise (including public or private arbitral tribunals and antitrust authorities that have jurisdiction to review the transactions contemplated by this Agreement). </w:t>
      </w:r>
    </w:p>
    <w:p>
      <w:pPr>
        <w:pStyle w:val="TextBody"/>
        <w:bidi w:val="0"/>
        <w:spacing w:before="240" w:after="0"/>
        <w:jc w:val="left"/>
        <w:rPr/>
      </w:pPr>
      <w:r>
        <w:rPr/>
        <w:t>“</w:t>
      </w:r>
      <w:r>
        <w:rPr>
          <w:rFonts w:ascii="Times New Roman" w:hAnsi="Times New Roman"/>
          <w:sz w:val="20"/>
          <w:u w:val="single"/>
        </w:rPr>
        <w:t>Governmental Order</w:t>
      </w:r>
      <w:r>
        <w:rPr>
          <w:rFonts w:ascii="Times New Roman" w:hAnsi="Times New Roman"/>
          <w:sz w:val="20"/>
        </w:rPr>
        <w:t xml:space="preserve">” means any order, administrative notice, writ, judgment, injunction, decree, stipulation, ruling, decision, verdict, determination, demand, consent, agreement, pronouncement, award or other action, in each case, made, issued or entered by or with any Governmental Authority (including, any judicial or administrative directives). </w:t>
      </w:r>
    </w:p>
    <w:p>
      <w:pPr>
        <w:pStyle w:val="TextBody"/>
        <w:bidi w:val="0"/>
        <w:spacing w:before="240" w:after="0"/>
        <w:jc w:val="left"/>
        <w:rPr/>
      </w:pPr>
      <w:r>
        <w:rPr/>
        <w:t>“</w:t>
      </w:r>
      <w:r>
        <w:rPr>
          <w:rFonts w:ascii="Times New Roman" w:hAnsi="Times New Roman"/>
          <w:sz w:val="20"/>
          <w:u w:val="single"/>
        </w:rPr>
        <w:t>GST/ HST</w:t>
      </w:r>
      <w:r>
        <w:rPr>
          <w:rFonts w:ascii="Times New Roman" w:hAnsi="Times New Roman"/>
          <w:sz w:val="20"/>
        </w:rPr>
        <w:t xml:space="preserve">” means the taxes imposed under Part IX of the Excise Tax Act (Canada). </w:t>
      </w:r>
    </w:p>
    <w:p>
      <w:pPr>
        <w:pStyle w:val="TextBody"/>
        <w:bidi w:val="0"/>
        <w:spacing w:before="240" w:after="0"/>
        <w:jc w:val="left"/>
        <w:rPr/>
      </w:pPr>
      <w:r>
        <w:rPr/>
        <w:t>“</w:t>
      </w:r>
      <w:r>
        <w:rPr>
          <w:rFonts w:ascii="Times New Roman" w:hAnsi="Times New Roman"/>
          <w:sz w:val="20"/>
          <w:u w:val="single"/>
        </w:rPr>
        <w:t>Hazardous Materials</w:t>
      </w:r>
      <w:r>
        <w:rPr>
          <w:rFonts w:ascii="Times New Roman" w:hAnsi="Times New Roman"/>
          <w:sz w:val="20"/>
        </w:rPr>
        <w:t xml:space="preserve">” means any material, substance or waste that is listed or defined as hazardous or toxic, or as a pollutant or contaminant, or that is otherwise listed, defined or regulated, under any Environmental Law, including any per- or polyfluoroalkyl substances, petroleum or petroleum products, lead, radioactive materials, asbestos, and polychlorinated biphenyls. </w:t>
      </w:r>
    </w:p>
    <w:p>
      <w:pPr>
        <w:pStyle w:val="TextBody"/>
        <w:bidi w:val="0"/>
        <w:spacing w:before="240" w:after="0"/>
        <w:jc w:val="left"/>
        <w:rPr/>
      </w:pPr>
      <w:r>
        <w:rPr/>
        <w:t>“</w:t>
      </w:r>
      <w:r>
        <w:rPr>
          <w:rFonts w:ascii="Times New Roman" w:hAnsi="Times New Roman"/>
          <w:sz w:val="20"/>
          <w:u w:val="single"/>
        </w:rPr>
        <w:t>HCERA</w:t>
      </w:r>
      <w:r>
        <w:rPr>
          <w:rFonts w:ascii="Times New Roman" w:hAnsi="Times New Roman"/>
          <w:sz w:val="20"/>
        </w:rPr>
        <w:t xml:space="preserve">” has the meaning set forth in </w:t>
      </w:r>
      <w:r>
        <w:rPr>
          <w:rFonts w:ascii="Times New Roman" w:hAnsi="Times New Roman"/>
          <w:sz w:val="20"/>
          <w:u w:val="single"/>
        </w:rPr>
        <w:t>Section 4.09(d)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HSR Act</w:t>
      </w:r>
      <w:r>
        <w:rPr>
          <w:rFonts w:ascii="Times New Roman" w:hAnsi="Times New Roman"/>
          <w:sz w:val="20"/>
        </w:rPr>
        <w:t xml:space="preserve">” means the Hart-Scott-Rodino Antitrust Improvements Act of 1976, as amended. </w:t>
      </w:r>
    </w:p>
    <w:p>
      <w:pPr>
        <w:pStyle w:val="TextBody"/>
        <w:bidi w:val="0"/>
        <w:spacing w:before="240" w:after="0"/>
        <w:jc w:val="left"/>
        <w:rPr/>
      </w:pPr>
      <w:r>
        <w:rPr/>
        <w:t>“</w:t>
      </w:r>
      <w:r>
        <w:rPr>
          <w:rFonts w:ascii="Times New Roman" w:hAnsi="Times New Roman"/>
          <w:sz w:val="20"/>
          <w:u w:val="single"/>
        </w:rPr>
        <w:t>Indebtedness</w:t>
      </w:r>
      <w:r>
        <w:rPr>
          <w:rFonts w:ascii="Times New Roman" w:hAnsi="Times New Roman"/>
          <w:sz w:val="20"/>
        </w:rPr>
        <w:t xml:space="preserve">” with respect to the Company Group and without duplication means (including in respect of principal, penalties, fees, make-whole amounts and premiums), (i) all indebtedness of the Company Group for borrowed money and all obligations thereof represented by bonds, notes, debentures or similar debt securities or instruments, (ii) obligations under leases recorded as capital or finance leases on the Financials or required to be recorded as capital or finance leases in accordance with GAAP, (iii) obligations for the reimbursement of any obligor on any letter of credit, bank guarantees, banker’s acceptances, surety bonds, performance bonds or other similar instruments, in each case, solely to the extent drawn or called, (iv) obligations under any interest rate, swap, derivative or other hedging transactions, arrangements or Contracts, including any breakage costs, termination payments, close-out amounts, settlement amounts or mark-to-market losses relating thereto, (v) obligations secured by (or for which the holder of such indebtedness has an existing right, contingent or otherwise, to be secured by) any Lien (other than a Company Permitted Lien) on property owned or acquired by the Company or its Subsidiaries, (vi) obligations for the deferred or unpaid purchase price of property, securities, services, businesses or assets (including any fixed or contingent deferred purchase price, earn-out, holdback payment, contingency payment, installment payment, seller note, post-closing true-up obligations, indemnification obligations or similar liabilities, in each case whether or not contingent and calculated as the maximum amount payable under or pursuant to such obligation), (vii) were paid on the Closing Date and that, in each case, is not otherwise included in Net Working Capital, (viii) all outstanding checks of the Company Group, (ix) the Pre-Closing Income Tax Accrual Amount, and (x) guarantees made by any member of the Company Group on behalf of any other Person in respect of any obligations of such Person or third-party. Indebtedness shall not include (A) any obligations the Company Group may have in respect of lease agreements (other than recorded as capital or finance leases on the Financials or required to be recorded as capital or finance leases in accordance with GAAP), (B) any undrawn letters of credit, performance bonds, bankers’ acceptances or similar obligations of the Company Group, (C) any intercompany obligations between or among members of the Company Group, or (D) any items expressly used in the calculation of Net Working Capital or Transaction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Independent Accountant</w:t>
      </w:r>
      <w:r>
        <w:rPr>
          <w:rFonts w:ascii="Times New Roman" w:hAnsi="Times New Roman"/>
          <w:sz w:val="20"/>
        </w:rPr>
        <w:t xml:space="preserve">” has the meaning set forth in </w:t>
      </w:r>
      <w:r>
        <w:rPr>
          <w:rFonts w:ascii="Times New Roman" w:hAnsi="Times New Roman"/>
          <w:sz w:val="20"/>
          <w:u w:val="single"/>
        </w:rPr>
        <w:t>Section 2.05(b)(iv)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Initial Merger Consideration</w:t>
      </w:r>
      <w:r>
        <w:rPr>
          <w:rFonts w:ascii="Times New Roman" w:hAnsi="Times New Roman"/>
          <w:sz w:val="20"/>
        </w:rPr>
        <w:t xml:space="preserve">” means (a) the Estimated Common Consideration Shares, </w:t>
      </w:r>
      <w:r>
        <w:rPr>
          <w:rFonts w:ascii="Times New Roman" w:hAnsi="Times New Roman"/>
          <w:i/>
          <w:sz w:val="20"/>
        </w:rPr>
        <w:t>plus</w:t>
      </w:r>
      <w:r>
        <w:rPr>
          <w:rFonts w:ascii="Times New Roman" w:hAnsi="Times New Roman"/>
          <w:sz w:val="20"/>
        </w:rPr>
        <w:t xml:space="preserve"> (b) the Estimated Cash Consideration. </w:t>
      </w:r>
    </w:p>
    <w:p>
      <w:pPr>
        <w:pStyle w:val="TextBody"/>
        <w:bidi w:val="0"/>
        <w:spacing w:before="240" w:after="0"/>
        <w:jc w:val="left"/>
        <w:rPr/>
      </w:pPr>
      <w:r>
        <w:rPr/>
        <w:t>“</w:t>
      </w:r>
      <w:r>
        <w:rPr>
          <w:rFonts w:ascii="Times New Roman" w:hAnsi="Times New Roman"/>
          <w:sz w:val="20"/>
          <w:u w:val="single"/>
        </w:rPr>
        <w:t>Income Tax</w:t>
      </w:r>
      <w:r>
        <w:rPr>
          <w:rFonts w:ascii="Times New Roman" w:hAnsi="Times New Roman"/>
          <w:sz w:val="20"/>
        </w:rPr>
        <w:t xml:space="preserve">” means any federal, state, local or non-U.S. Tax that is imposed on, or measured by, in whole or in part, the revenue, income or earnings of the taxpayer, or any franchise, margin or similar Tax (however denominated) imposed in lieu of a Tax on net income, or imposed on gross receipts, modified gross receipts, capital or net worth. </w:t>
      </w:r>
    </w:p>
    <w:p>
      <w:pPr>
        <w:pStyle w:val="TextBody"/>
        <w:bidi w:val="0"/>
        <w:spacing w:before="240" w:after="0"/>
        <w:jc w:val="left"/>
        <w:rPr/>
      </w:pPr>
      <w:r>
        <w:rPr/>
        <w:t>“</w:t>
      </w:r>
      <w:r>
        <w:rPr>
          <w:rFonts w:ascii="Times New Roman" w:hAnsi="Times New Roman"/>
          <w:sz w:val="20"/>
          <w:u w:val="single"/>
        </w:rPr>
        <w:t>Insurance Policies</w:t>
      </w:r>
      <w:r>
        <w:rPr>
          <w:rFonts w:ascii="Times New Roman" w:hAnsi="Times New Roman"/>
          <w:sz w:val="20"/>
        </w:rPr>
        <w:t xml:space="preserve">” has the meaning set forth in </w:t>
      </w:r>
      <w:r>
        <w:rPr>
          <w:rFonts w:ascii="Times New Roman" w:hAnsi="Times New Roman"/>
          <w:sz w:val="20"/>
          <w:u w:val="single"/>
        </w:rPr>
        <w:t>Section 4.24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Intellectual Property</w:t>
      </w:r>
      <w:r>
        <w:rPr>
          <w:rFonts w:ascii="Times New Roman" w:hAnsi="Times New Roman"/>
          <w:sz w:val="20"/>
        </w:rPr>
        <w:t xml:space="preserve">” means any and all intellectual property and/or proprietary rights existing anywhere in the world, including the following: (a) patents (including utility and design rights and inclusive of all reissues, divisionals, continuations, continuations-in-part, reexaminations, supplemental examinations, inter partes reviews, post-grant oppositions, substitutions, and extensions thereof), patent disclosures, issuances, and applications (including provisional applications) and statutory invention registrations; (b) Trademarks; (c) copyrights, copyrightable works (whether or not registered), works of authorship (whether or not copyrightable, including all translations, adaptations, derivations, and combinations thereof), mask works, designs, and database rights, including, in each case, any registrations, applications for registration, and renewals therefor; (d) Domain Names; (e) Software; (f) confidential and proprietary Know-How; (g) industrial design applications and registrations; (h) all tangible embodiments of the foregoing in whatever form or medium; and (i) any other legal protections and rights, including moral, privacy or publicity, and/or industrial rights, related to any of the foregoing and the right to bring an Action for any past, present, or future infringement thereof. </w:t>
      </w:r>
    </w:p>
    <w:p>
      <w:pPr>
        <w:pStyle w:val="TextBody"/>
        <w:bidi w:val="0"/>
        <w:spacing w:before="240" w:after="0"/>
        <w:jc w:val="left"/>
        <w:rPr/>
      </w:pPr>
      <w:r>
        <w:rPr/>
        <w:t>“</w:t>
      </w:r>
      <w:r>
        <w:rPr>
          <w:rFonts w:ascii="Times New Roman" w:hAnsi="Times New Roman"/>
          <w:sz w:val="20"/>
          <w:u w:val="single"/>
        </w:rPr>
        <w:t>Intended Tax Treatment</w:t>
      </w:r>
      <w:r>
        <w:rPr>
          <w:rFonts w:ascii="Times New Roman" w:hAnsi="Times New Roman"/>
          <w:sz w:val="20"/>
        </w:rPr>
        <w:t xml:space="preserve">” has the meaning set forth in Section 6.05(e). </w:t>
      </w:r>
    </w:p>
    <w:p>
      <w:pPr>
        <w:pStyle w:val="TextBody"/>
        <w:bidi w:val="0"/>
        <w:spacing w:before="240" w:after="0"/>
        <w:jc w:val="left"/>
        <w:rPr/>
      </w:pPr>
      <w:r>
        <w:rPr/>
        <w:t>“</w:t>
      </w:r>
      <w:r>
        <w:rPr>
          <w:rFonts w:ascii="Times New Roman" w:hAnsi="Times New Roman"/>
          <w:sz w:val="20"/>
          <w:u w:val="single"/>
        </w:rPr>
        <w:t>Intermediate Surviving Company LLC Agreement</w:t>
      </w:r>
      <w:r>
        <w:rPr>
          <w:rFonts w:ascii="Times New Roman" w:hAnsi="Times New Roman"/>
          <w:sz w:val="20"/>
        </w:rPr>
        <w:t xml:space="preserve">” has the meaning set forth in </w:t>
      </w:r>
      <w:r>
        <w:rPr>
          <w:rFonts w:ascii="Times New Roman" w:hAnsi="Times New Roman"/>
          <w:sz w:val="20"/>
          <w:u w:val="single"/>
        </w:rPr>
        <w:t>Section 1.04(b)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Inventory</w:t>
      </w:r>
      <w:r>
        <w:rPr>
          <w:rFonts w:ascii="Times New Roman" w:hAnsi="Times New Roman"/>
          <w:sz w:val="20"/>
        </w:rPr>
        <w:t xml:space="preserve">” means all inventories of the Company Group with respect to the Company Business. </w:t>
      </w:r>
    </w:p>
    <w:p>
      <w:pPr>
        <w:pStyle w:val="TextBody"/>
        <w:bidi w:val="0"/>
        <w:spacing w:before="240" w:after="0"/>
        <w:jc w:val="left"/>
        <w:rPr/>
      </w:pPr>
      <w:r>
        <w:rPr/>
        <w:t>“</w:t>
      </w:r>
      <w:r>
        <w:rPr>
          <w:rFonts w:ascii="Times New Roman" w:hAnsi="Times New Roman"/>
          <w:sz w:val="20"/>
          <w:u w:val="single"/>
        </w:rPr>
        <w:t>Investor Questionnaire</w:t>
      </w:r>
      <w:r>
        <w:rPr>
          <w:rFonts w:ascii="Times New Roman" w:hAnsi="Times New Roman"/>
          <w:sz w:val="20"/>
        </w:rPr>
        <w:t xml:space="preserve">” has the meaning set forth in </w:t>
      </w:r>
      <w:r>
        <w:rPr>
          <w:rFonts w:ascii="Times New Roman" w:hAnsi="Times New Roman"/>
          <w:sz w:val="20"/>
          <w:u w:val="single"/>
        </w:rPr>
        <w:t>Section 7.01(i)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Investor Rights Agreement</w:t>
      </w:r>
      <w:r>
        <w:rPr>
          <w:rFonts w:ascii="Times New Roman" w:hAnsi="Times New Roman"/>
          <w:sz w:val="20"/>
        </w:rPr>
        <w:t xml:space="preserve">” means the investor rights agreement, substantially in the form attached hereto as </w:t>
      </w:r>
      <w:r>
        <w:rPr>
          <w:rFonts w:ascii="Times New Roman" w:hAnsi="Times New Roman"/>
          <w:sz w:val="20"/>
          <w:u w:val="single"/>
        </w:rPr>
        <w:t>Exhibit E</w:t>
      </w:r>
      <w:r>
        <w:rPr>
          <w:rFonts w:ascii="Times New Roman" w:hAnsi="Times New Roman"/>
          <w:sz w:val="20"/>
        </w:rPr>
        <w:t xml:space="preserve">, to be entered into by Parent and Seller on or prior to the Closing Date. </w:t>
      </w:r>
    </w:p>
    <w:p>
      <w:pPr>
        <w:pStyle w:val="TextBody"/>
        <w:bidi w:val="0"/>
        <w:spacing w:before="240" w:after="0"/>
        <w:jc w:val="left"/>
        <w:rPr/>
      </w:pPr>
      <w:r>
        <w:rPr/>
        <w:t>“</w:t>
      </w:r>
      <w:r>
        <w:rPr>
          <w:rFonts w:ascii="Times New Roman" w:hAnsi="Times New Roman"/>
          <w:sz w:val="20"/>
          <w:u w:val="single"/>
        </w:rPr>
        <w:t>IRS</w:t>
      </w:r>
      <w:r>
        <w:rPr>
          <w:rFonts w:ascii="Times New Roman" w:hAnsi="Times New Roman"/>
          <w:sz w:val="20"/>
        </w:rPr>
        <w:t xml:space="preserve">” means the U.S. Internal Revenue Service. </w:t>
      </w:r>
    </w:p>
    <w:p>
      <w:pPr>
        <w:pStyle w:val="TextBody"/>
        <w:bidi w:val="0"/>
        <w:spacing w:before="240" w:after="0"/>
        <w:jc w:val="left"/>
        <w:rPr/>
      </w:pPr>
      <w:r>
        <w:rPr/>
        <w:t>“</w:t>
      </w:r>
      <w:r>
        <w:rPr>
          <w:rFonts w:ascii="Times New Roman" w:hAnsi="Times New Roman"/>
          <w:sz w:val="20"/>
          <w:u w:val="single"/>
        </w:rPr>
        <w:t>IT Systems</w:t>
      </w:r>
      <w:r>
        <w:rPr>
          <w:rFonts w:ascii="Times New Roman" w:hAnsi="Times New Roman"/>
          <w:sz w:val="20"/>
        </w:rPr>
        <w:t xml:space="preserve">” means all Software, hardware, electronic data processing equipment, information technology and recordkeeping systems, networks, interfaces, platforms, peripherals, computers, middleware, servers, workstations, routers, hubs, switches, circuits, telecommunications systems, data communications lines, and other information technology equipment (whether for a general or specific purpose), including any outsourced systems, that are owned, held for use, or used by or on behalf of the Company Group. </w:t>
      </w:r>
    </w:p>
    <w:p>
      <w:pPr>
        <w:pStyle w:val="TextBody"/>
        <w:bidi w:val="0"/>
        <w:spacing w:before="240" w:after="0"/>
        <w:jc w:val="left"/>
        <w:rPr/>
      </w:pPr>
      <w:r>
        <w:rPr/>
        <w:t>“</w:t>
      </w:r>
      <w:r>
        <w:rPr>
          <w:rFonts w:ascii="Times New Roman" w:hAnsi="Times New Roman"/>
          <w:sz w:val="20"/>
          <w:u w:val="single"/>
        </w:rPr>
        <w:t>ITA</w:t>
      </w:r>
      <w:r>
        <w:rPr>
          <w:rFonts w:ascii="Times New Roman" w:hAnsi="Times New Roman"/>
          <w:sz w:val="20"/>
        </w:rPr>
        <w:t xml:space="preserve">” means the </w:t>
      </w:r>
      <w:r>
        <w:rPr>
          <w:rFonts w:ascii="Times New Roman" w:hAnsi="Times New Roman"/>
          <w:i/>
          <w:sz w:val="20"/>
        </w:rPr>
        <w:t xml:space="preserve">Income Tax Act </w:t>
      </w:r>
      <w:r>
        <w:rPr>
          <w:rFonts w:ascii="Times New Roman" w:hAnsi="Times New Roman"/>
          <w:sz w:val="20"/>
        </w:rPr>
        <w:t xml:space="preserve">(Canada) and regulations issued thereunder. </w:t>
      </w:r>
    </w:p>
    <w:p>
      <w:pPr>
        <w:pStyle w:val="TextBody"/>
        <w:bidi w:val="0"/>
        <w:spacing w:before="240" w:after="0"/>
        <w:jc w:val="left"/>
        <w:rPr/>
      </w:pPr>
      <w:r>
        <w:rPr/>
        <w:t>“</w:t>
      </w:r>
      <w:r>
        <w:rPr>
          <w:rFonts w:ascii="Times New Roman" w:hAnsi="Times New Roman"/>
          <w:sz w:val="20"/>
          <w:u w:val="single"/>
        </w:rPr>
        <w:t>ITAR</w:t>
      </w:r>
      <w:r>
        <w:rPr>
          <w:rFonts w:ascii="Times New Roman" w:hAnsi="Times New Roman"/>
          <w:sz w:val="20"/>
        </w:rPr>
        <w:t xml:space="preserve">” means the International Traffic in Arms Regulations, 22 C.F.R Sections 120-130.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Know-How</w:t>
      </w:r>
      <w:r>
        <w:rPr>
          <w:rFonts w:ascii="Times New Roman" w:hAnsi="Times New Roman"/>
          <w:sz w:val="20"/>
        </w:rPr>
        <w:t xml:space="preserve">” means technical, scientific, regulatory, or other information, designs, layouts, ideas, concepts, invention disclosures and inventions (whether patentable or unpatentable, and whether or not reduced to practice), research and development, discoveries, results, creations, improvements, know-how, techniques and data, technology, algorithms, procedures, plans, processes, practices, recipes, methods, trade secrets and other confidential and/or proprietary information that derives actual or potential economic value from not being generally known to other Persons who can obtain economic value from its disclosure or use, instructions, formulae, formulations, compositions, specifications, marketing, pricing, distribution cost and sales information, customer and supplier names and lists, tools, materials, apparatus, creations, improvements and other similar materials, and all recordings, graphs, drawings, diagrams, flow charts, models, studies, reports, surveys, analyses and other writings. </w:t>
      </w:r>
    </w:p>
    <w:p>
      <w:pPr>
        <w:pStyle w:val="TextBody"/>
        <w:bidi w:val="0"/>
        <w:spacing w:before="240" w:after="0"/>
        <w:jc w:val="left"/>
        <w:rPr/>
      </w:pPr>
      <w:r>
        <w:rPr/>
        <w:t>“</w:t>
      </w:r>
      <w:r>
        <w:rPr>
          <w:rFonts w:ascii="Times New Roman" w:hAnsi="Times New Roman"/>
          <w:sz w:val="20"/>
          <w:u w:val="single"/>
        </w:rPr>
        <w:t>Knowledge of the Company</w:t>
      </w:r>
      <w:r>
        <w:rPr>
          <w:rFonts w:ascii="Times New Roman" w:hAnsi="Times New Roman"/>
          <w:sz w:val="20"/>
        </w:rPr>
        <w:t xml:space="preserve">” means (a) actual knowledge of Robert Gates, Steven Colaluca and Brad Ferguson, in each case after reasonable inquiry, and (b) actual knowledge of Ryan Connelly, without inquiry. </w:t>
      </w:r>
    </w:p>
    <w:p>
      <w:pPr>
        <w:pStyle w:val="TextBody"/>
        <w:bidi w:val="0"/>
        <w:spacing w:before="240" w:after="0"/>
        <w:jc w:val="left"/>
        <w:rPr/>
      </w:pPr>
      <w:r>
        <w:rPr/>
        <w:t>“</w:t>
      </w:r>
      <w:r>
        <w:rPr>
          <w:rFonts w:ascii="Times New Roman" w:hAnsi="Times New Roman"/>
          <w:sz w:val="20"/>
          <w:u w:val="single"/>
        </w:rPr>
        <w:t>Labor Agreement</w:t>
      </w:r>
      <w:r>
        <w:rPr>
          <w:rFonts w:ascii="Times New Roman" w:hAnsi="Times New Roman"/>
          <w:sz w:val="20"/>
        </w:rPr>
        <w:t xml:space="preserve">” has the meaning set forth in </w:t>
      </w:r>
      <w:r>
        <w:rPr>
          <w:rFonts w:ascii="Times New Roman" w:hAnsi="Times New Roman"/>
          <w:sz w:val="20"/>
          <w:u w:val="single"/>
        </w:rPr>
        <w:t>Section 4.10(c)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Law</w:t>
      </w:r>
      <w:r>
        <w:rPr>
          <w:rFonts w:ascii="Times New Roman" w:hAnsi="Times New Roman"/>
          <w:sz w:val="20"/>
        </w:rPr>
        <w:t xml:space="preserve">” means any federal, state, provincial, municipal, local or foreign law (including common law) statute, regulation, ordinance, rule, Governmental Order, act, code, Governmental Approval, concession, grant, franchise, license, agreement, directive, requirement or other governmental restriction or any similar form of decision of, or determination by, or any interpretation or administration of any of the foregoing by, any Governmental Authority, whether now or hereinafter in effect having the force of law. </w:t>
      </w:r>
    </w:p>
    <w:p>
      <w:pPr>
        <w:pStyle w:val="TextBody"/>
        <w:bidi w:val="0"/>
        <w:spacing w:before="240" w:after="0"/>
        <w:jc w:val="left"/>
        <w:rPr/>
      </w:pPr>
      <w:r>
        <w:rPr/>
        <w:t>“</w:t>
      </w:r>
      <w:r>
        <w:rPr>
          <w:rFonts w:ascii="Times New Roman" w:hAnsi="Times New Roman"/>
          <w:sz w:val="20"/>
          <w:u w:val="single"/>
        </w:rPr>
        <w:t>Lease Agreement</w:t>
      </w:r>
      <w:r>
        <w:rPr>
          <w:rFonts w:ascii="Times New Roman" w:hAnsi="Times New Roman"/>
          <w:sz w:val="20"/>
        </w:rPr>
        <w:t xml:space="preserve">” means any lease, sublease, license or other agreement governing the Company’s or any Company Subsidiary’s occupancy of any Company Leased Real Property, including any amendment, restatement, renewal, extension, modification, supplement or guaranty thereof. </w:t>
      </w:r>
    </w:p>
    <w:p>
      <w:pPr>
        <w:pStyle w:val="TextBody"/>
        <w:bidi w:val="0"/>
        <w:spacing w:before="240" w:after="0"/>
        <w:jc w:val="left"/>
        <w:rPr/>
      </w:pPr>
      <w:r>
        <w:rPr/>
        <w:t>“</w:t>
      </w:r>
      <w:r>
        <w:rPr>
          <w:rFonts w:ascii="Times New Roman" w:hAnsi="Times New Roman"/>
          <w:sz w:val="20"/>
          <w:u w:val="single"/>
        </w:rPr>
        <w:t>Leaseback Agreement</w:t>
      </w:r>
      <w:r>
        <w:rPr>
          <w:rFonts w:ascii="Times New Roman" w:hAnsi="Times New Roman"/>
          <w:sz w:val="20"/>
        </w:rPr>
        <w:t xml:space="preserve">” has the meaning set forth in </w:t>
      </w:r>
      <w:r>
        <w:rPr>
          <w:rFonts w:ascii="Times New Roman" w:hAnsi="Times New Roman"/>
          <w:sz w:val="20"/>
          <w:u w:val="single"/>
        </w:rPr>
        <w:t>Section 6.15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Liabilities</w:t>
      </w:r>
      <w:r>
        <w:rPr>
          <w:rFonts w:ascii="Times New Roman" w:hAnsi="Times New Roman"/>
          <w:sz w:val="20"/>
        </w:rPr>
        <w:t xml:space="preserve">” means any and all liabilities, claims, debts, demands, actions, causes of action, suits, damages, fines, penalties, Taxes, obligations, prohibitions, accruals, accounts payable, reckonings, bonds, indemnities and similar obligations, agreements, promises, guarantees, make-whole agreements and similar obligations, and other liabilities and requirements, including all contractual obligations, whether absolute or contingent, matured or unmatured, liquidated or unliquidated, accrued or unaccrued, known or unknown, whenever arising, and including those arising under any Law, Action, threatened or contemplated Action or any award of any arbitrator or mediator of any kind, and those arising under any Contract, including those arising under this Agreement or any other Transaction Document, in each case, whether or not recorded or reflected or required to be recorded or reflected on the books and records or financial statements of any Person. For the avoidance of doubt, Liabilities shall include attorneys’ fees, the costs and expenses of all assessments, judgments, settlements and compromises, and any and all other costs and expenses whatsoever reasonably incurred in connection with anything contemplated by the preceding sentence (including costs and expenses incurred in investigating, preparing or defending against any such Actions or threatened or contemplated Actions).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pledge, lien, charge, mortgage, encumbrance, title defect, easement, hypothecation, right of first refusal, right of first offer, transfer restriction or other similar restriction (whether on voting, sale, transfer, disposition or otherwise) on title, or security interest of any kind or nature whatsoever. </w:t>
      </w:r>
    </w:p>
    <w:p>
      <w:pPr>
        <w:pStyle w:val="TextBody"/>
        <w:bidi w:val="0"/>
        <w:spacing w:before="240" w:after="0"/>
        <w:jc w:val="left"/>
        <w:rPr/>
      </w:pPr>
      <w:r>
        <w:rPr/>
        <w:t>“</w:t>
      </w:r>
      <w:r>
        <w:rPr>
          <w:rFonts w:ascii="Times New Roman" w:hAnsi="Times New Roman"/>
          <w:sz w:val="20"/>
          <w:u w:val="single"/>
        </w:rPr>
        <w:t>Lookback Date</w:t>
      </w:r>
      <w:r>
        <w:rPr>
          <w:rFonts w:ascii="Times New Roman" w:hAnsi="Times New Roman"/>
          <w:sz w:val="20"/>
        </w:rPr>
        <w:t xml:space="preserve">” means the date that is four (4) years prior to the Closing Date. </w:t>
      </w:r>
    </w:p>
    <w:p>
      <w:pPr>
        <w:pStyle w:val="TextBody"/>
        <w:bidi w:val="0"/>
        <w:spacing w:before="240" w:after="0"/>
        <w:jc w:val="left"/>
        <w:rPr/>
      </w:pPr>
      <w:r>
        <w:rPr/>
        <w:t>“</w:t>
      </w:r>
      <w:r>
        <w:rPr>
          <w:rFonts w:ascii="Times New Roman" w:hAnsi="Times New Roman"/>
          <w:sz w:val="20"/>
          <w:u w:val="single"/>
        </w:rPr>
        <w:t>Losses</w:t>
      </w:r>
      <w:r>
        <w:rPr>
          <w:rFonts w:ascii="Times New Roman" w:hAnsi="Times New Roman"/>
          <w:sz w:val="20"/>
        </w:rPr>
        <w:t xml:space="preserve">” means any Liabilities, deficiencies, demands, Actions, Governmental Orders, Liens, judgments, losses, assessments, damages, dues, Taxes, penalties, fines, amounts paid in settlement, costs and expenses (including reasonable attorneys’ and accountants’ fees), but specifically excluding punitive and exemplary damages,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punitive and exemplary damages paid pursuant to a Third-Party Claim shall be deemed Losses.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Mergers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Merger Consideration</w:t>
      </w:r>
      <w:r>
        <w:rPr>
          <w:rFonts w:ascii="Times New Roman" w:hAnsi="Times New Roman"/>
          <w:sz w:val="20"/>
        </w:rPr>
        <w:t xml:space="preserve">” means, collectively, (a) the Initial Merger Consideration, </w:t>
      </w:r>
      <w:r>
        <w:rPr>
          <w:rFonts w:ascii="Times New Roman" w:hAnsi="Times New Roman"/>
          <w:i/>
          <w:sz w:val="20"/>
        </w:rPr>
        <w:t>plus</w:t>
      </w:r>
      <w:r>
        <w:rPr>
          <w:rFonts w:ascii="Times New Roman" w:hAnsi="Times New Roman"/>
          <w:sz w:val="20"/>
        </w:rPr>
        <w:t xml:space="preserve"> (b) any cash paid to Seller pursuant to </w:t>
      </w:r>
      <w:r>
        <w:rPr>
          <w:rFonts w:ascii="Times New Roman" w:hAnsi="Times New Roman"/>
          <w:sz w:val="20"/>
          <w:u w:val="single"/>
        </w:rPr>
        <w:t>Section 2.05(c)(i)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Merger Sub</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Minimum Cash Balance</w:t>
      </w:r>
      <w:r>
        <w:rPr>
          <w:rFonts w:ascii="Times New Roman" w:hAnsi="Times New Roman"/>
          <w:sz w:val="20"/>
        </w:rPr>
        <w:t xml:space="preserve">” means $1,000,000.00. </w:t>
      </w:r>
    </w:p>
    <w:p>
      <w:pPr>
        <w:pStyle w:val="TextBody"/>
        <w:bidi w:val="0"/>
        <w:spacing w:before="240" w:after="0"/>
        <w:jc w:val="left"/>
        <w:rPr/>
      </w:pPr>
      <w:r>
        <w:rPr/>
        <w:t>“</w:t>
      </w:r>
      <w:r>
        <w:rPr>
          <w:rFonts w:ascii="Times New Roman" w:hAnsi="Times New Roman"/>
          <w:sz w:val="20"/>
          <w:u w:val="single"/>
        </w:rPr>
        <w:t>Negotiation Period</w:t>
      </w:r>
      <w:r>
        <w:rPr>
          <w:rFonts w:ascii="Times New Roman" w:hAnsi="Times New Roman"/>
          <w:sz w:val="20"/>
        </w:rPr>
        <w:t xml:space="preserve">” has the meaning set forth in </w:t>
      </w:r>
      <w:r>
        <w:rPr>
          <w:rFonts w:ascii="Times New Roman" w:hAnsi="Times New Roman"/>
          <w:sz w:val="20"/>
          <w:u w:val="single"/>
        </w:rPr>
        <w:t>Section 2.05(b)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Net Working Capital</w:t>
      </w:r>
      <w:r>
        <w:rPr>
          <w:rFonts w:ascii="Times New Roman" w:hAnsi="Times New Roman"/>
          <w:sz w:val="20"/>
        </w:rPr>
        <w:t xml:space="preserve">” means the sum of the current assets of the Company Group (excluding Cash, deferred Tax assets and any Income Tax assets), </w:t>
      </w:r>
      <w:r>
        <w:rPr>
          <w:rFonts w:ascii="Times New Roman" w:hAnsi="Times New Roman"/>
          <w:i/>
          <w:sz w:val="20"/>
        </w:rPr>
        <w:t>less</w:t>
      </w:r>
      <w:r>
        <w:rPr>
          <w:rFonts w:ascii="Times New Roman" w:hAnsi="Times New Roman"/>
          <w:sz w:val="20"/>
        </w:rPr>
        <w:t xml:space="preserve"> the sum of the current Liabilities of the Company Group (excluding Indebtedness of the Company Group, any Transaction Expenses, deferred Tax liabilities and any Income Tax liabilities), in each case, determined in accordance with the Accounting Principles. </w:t>
      </w:r>
    </w:p>
    <w:p>
      <w:pPr>
        <w:pStyle w:val="TextBody"/>
        <w:bidi w:val="0"/>
        <w:spacing w:before="240" w:after="0"/>
        <w:jc w:val="left"/>
        <w:rPr/>
      </w:pPr>
      <w:r>
        <w:rPr/>
        <w:t>“</w:t>
      </w:r>
      <w:r>
        <w:rPr>
          <w:rFonts w:ascii="Times New Roman" w:hAnsi="Times New Roman"/>
          <w:sz w:val="20"/>
          <w:u w:val="single"/>
        </w:rPr>
        <w:t>Net Working Capital Deficit</w:t>
      </w:r>
      <w:r>
        <w:rPr>
          <w:rFonts w:ascii="Times New Roman" w:hAnsi="Times New Roman"/>
          <w:sz w:val="20"/>
        </w:rPr>
        <w:t xml:space="preserve">” means the amount (if any) by which the Target Closing Net Working Capital exceeds the Closing Net Working Capital. </w:t>
      </w:r>
    </w:p>
    <w:p>
      <w:pPr>
        <w:pStyle w:val="TextBody"/>
        <w:bidi w:val="0"/>
        <w:spacing w:before="240" w:after="0"/>
        <w:jc w:val="left"/>
        <w:rPr/>
      </w:pPr>
      <w:r>
        <w:rPr/>
        <w:t>“</w:t>
      </w:r>
      <w:r>
        <w:rPr>
          <w:rFonts w:ascii="Times New Roman" w:hAnsi="Times New Roman"/>
          <w:sz w:val="20"/>
          <w:u w:val="single"/>
        </w:rPr>
        <w:t>Net Working Capital Surplus</w:t>
      </w:r>
      <w:r>
        <w:rPr>
          <w:rFonts w:ascii="Times New Roman" w:hAnsi="Times New Roman"/>
          <w:sz w:val="20"/>
        </w:rPr>
        <w:t xml:space="preserve">” means the amount (if any) by which the Closing Net Working Capital exceeds the Target Closing Net Working Capital. </w:t>
      </w:r>
    </w:p>
    <w:p>
      <w:pPr>
        <w:pStyle w:val="TextBody"/>
        <w:bidi w:val="0"/>
        <w:spacing w:before="240" w:after="0"/>
        <w:jc w:val="left"/>
        <w:rPr/>
      </w:pPr>
      <w:r>
        <w:rPr/>
        <w:t>“</w:t>
      </w:r>
      <w:r>
        <w:rPr>
          <w:rFonts w:ascii="Times New Roman" w:hAnsi="Times New Roman"/>
          <w:sz w:val="20"/>
          <w:u w:val="single"/>
        </w:rPr>
        <w:t>Non-Solicit Restricted Period</w:t>
      </w:r>
      <w:r>
        <w:rPr>
          <w:rFonts w:ascii="Times New Roman" w:hAnsi="Times New Roman"/>
          <w:sz w:val="20"/>
        </w:rPr>
        <w:t xml:space="preserve">” shall have the meaning given to such term in </w:t>
      </w:r>
      <w:r>
        <w:rPr>
          <w:rFonts w:ascii="Times New Roman" w:hAnsi="Times New Roman"/>
          <w:sz w:val="20"/>
          <w:u w:val="single"/>
        </w:rPr>
        <w:t>Section 6.07(b)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OFAC</w:t>
      </w:r>
      <w:r>
        <w:rPr>
          <w:rFonts w:ascii="Times New Roman" w:hAnsi="Times New Roman"/>
          <w:sz w:val="20"/>
        </w:rPr>
        <w:t xml:space="preserve">” has the meaning set forth in the definition of “Sanctioned Person”. </w:t>
      </w:r>
    </w:p>
    <w:p>
      <w:pPr>
        <w:pStyle w:val="TextBody"/>
        <w:bidi w:val="0"/>
        <w:spacing w:before="240" w:after="0"/>
        <w:jc w:val="left"/>
        <w:rPr/>
      </w:pPr>
      <w:r>
        <w:rPr/>
        <w:t>“</w:t>
      </w:r>
      <w:r>
        <w:rPr>
          <w:rFonts w:ascii="Times New Roman" w:hAnsi="Times New Roman"/>
          <w:sz w:val="20"/>
          <w:u w:val="single"/>
        </w:rPr>
        <w:t>Ordinary Course of Business</w:t>
      </w:r>
      <w:r>
        <w:rPr>
          <w:rFonts w:ascii="Times New Roman" w:hAnsi="Times New Roman"/>
          <w:sz w:val="20"/>
        </w:rPr>
        <w:t xml:space="preserve">” means an action taken by a Person that (a) is consistent in nature, scope, and magnitude with the past practices of such Person and is taken in the ordinary course of the normal operations of such Person and (b) does not require authorization by the board of directors or managers (or similar governing body) of such Person (or by any Person or group of Persons exercising similar authority) and does not require any other separate or special authorization of any nature;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“Ordinary Course of Business” include a breach of Contract or violation of Law. </w:t>
      </w:r>
    </w:p>
    <w:p>
      <w:pPr>
        <w:pStyle w:val="TextBody"/>
        <w:bidi w:val="0"/>
        <w:spacing w:before="240" w:after="0"/>
        <w:jc w:val="left"/>
        <w:rPr/>
      </w:pPr>
      <w:r>
        <w:rPr/>
        <w:t>“</w:t>
      </w:r>
      <w:r>
        <w:rPr>
          <w:rFonts w:ascii="Times New Roman" w:hAnsi="Times New Roman"/>
          <w:sz w:val="20"/>
          <w:u w:val="single"/>
        </w:rPr>
        <w:t>Organizational Documents</w:t>
      </w:r>
      <w:r>
        <w:rPr>
          <w:rFonts w:ascii="Times New Roman" w:hAnsi="Times New Roman"/>
          <w:sz w:val="20"/>
        </w:rPr>
        <w:t xml:space="preserve">” means, with respect to any Person (other than an individual), as applicable, (a) the certificate or articles of incorporation, formation or organization, organizational or charter documents relating to the creation or organization of such Person, and any limited liability company, operating or partnership agreement adopted or filed in connection with the creation, formation or organization of such Person and (b) all by-laws and equity holders agreements to which such Person is a party relating to the organization, operation, management or governance of such Person, in each case, as amended or supplemented. </w:t>
      </w:r>
    </w:p>
    <w:p>
      <w:pPr>
        <w:pStyle w:val="TextBody"/>
        <w:bidi w:val="0"/>
        <w:spacing w:before="240" w:after="0"/>
        <w:jc w:val="left"/>
        <w:rPr/>
      </w:pPr>
      <w:r>
        <w:rPr/>
        <w:t>“</w:t>
      </w:r>
      <w:r>
        <w:rPr>
          <w:rFonts w:ascii="Times New Roman" w:hAnsi="Times New Roman"/>
          <w:sz w:val="20"/>
          <w:u w:val="single"/>
        </w:rPr>
        <w:t>Parent</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Parent Balance Sheet</w:t>
      </w:r>
      <w:r>
        <w:rPr>
          <w:rFonts w:ascii="Times New Roman" w:hAnsi="Times New Roman"/>
          <w:sz w:val="20"/>
        </w:rPr>
        <w:t xml:space="preserve">” has the meaning set forth in </w:t>
      </w:r>
      <w:r>
        <w:rPr>
          <w:rFonts w:ascii="Times New Roman" w:hAnsi="Times New Roman"/>
          <w:sz w:val="20"/>
          <w:u w:val="single"/>
        </w:rPr>
        <w:t>Section 3.06(c)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Parent Common Stock</w:t>
      </w:r>
      <w:r>
        <w:rPr>
          <w:rFonts w:ascii="Times New Roman" w:hAnsi="Times New Roman"/>
          <w:sz w:val="20"/>
        </w:rPr>
        <w:t xml:space="preserve">” means, collectively, the common stock, $0.001 par value per share, of Parent. </w:t>
      </w:r>
    </w:p>
    <w:p>
      <w:pPr>
        <w:pStyle w:val="TextBody"/>
        <w:bidi w:val="0"/>
        <w:spacing w:before="240" w:after="0"/>
        <w:jc w:val="left"/>
        <w:rPr/>
      </w:pPr>
      <w:r>
        <w:rPr/>
        <w:t>“</w:t>
      </w:r>
      <w:r>
        <w:rPr>
          <w:rFonts w:ascii="Times New Roman" w:hAnsi="Times New Roman"/>
          <w:sz w:val="20"/>
          <w:u w:val="single"/>
        </w:rPr>
        <w:t>Parent Indemnified Parties</w:t>
      </w:r>
      <w:r>
        <w:rPr>
          <w:rFonts w:ascii="Times New Roman" w:hAnsi="Times New Roman"/>
          <w:sz w:val="20"/>
        </w:rPr>
        <w:t xml:space="preserve">” means the Parent and its respective Affiliates (including, after the Closing, the Company Group) and Representatives, together with the successors thereto and assigns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Parent Material Adverse Effect</w:t>
      </w:r>
      <w:r>
        <w:rPr>
          <w:rFonts w:ascii="Times New Roman" w:hAnsi="Times New Roman"/>
          <w:sz w:val="20"/>
        </w:rPr>
        <w:t xml:space="preserve">” means any effect, change, event or occurrence that, individually or in the aggregate, would prevent or materially impair or delay Parent or Merger Sub’s ability to consummate the Transactions. </w:t>
      </w:r>
    </w:p>
    <w:p>
      <w:pPr>
        <w:pStyle w:val="TextBody"/>
        <w:bidi w:val="0"/>
        <w:spacing w:before="240" w:after="0"/>
        <w:jc w:val="left"/>
        <w:rPr/>
      </w:pPr>
      <w:r>
        <w:rPr/>
        <w:t>“</w:t>
      </w:r>
      <w:r>
        <w:rPr>
          <w:rFonts w:ascii="Times New Roman" w:hAnsi="Times New Roman"/>
          <w:sz w:val="20"/>
          <w:u w:val="single"/>
        </w:rPr>
        <w:t>Parent SEC Documents</w:t>
      </w:r>
      <w:r>
        <w:rPr>
          <w:rFonts w:ascii="Times New Roman" w:hAnsi="Times New Roman"/>
          <w:sz w:val="20"/>
        </w:rPr>
        <w:t xml:space="preserve">” has the meaning set forth in </w:t>
      </w:r>
      <w:r>
        <w:rPr>
          <w:rFonts w:ascii="Times New Roman" w:hAnsi="Times New Roman"/>
          <w:sz w:val="20"/>
          <w:u w:val="single"/>
        </w:rPr>
        <w:t>Section 3.06(a)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Parent SEC Financial Statements</w:t>
      </w:r>
      <w:r>
        <w:rPr>
          <w:rFonts w:ascii="Times New Roman" w:hAnsi="Times New Roman"/>
          <w:sz w:val="20"/>
        </w:rPr>
        <w:t xml:space="preserve">” has the meaning set forth in </w:t>
      </w:r>
      <w:r>
        <w:rPr>
          <w:rFonts w:ascii="Times New Roman" w:hAnsi="Times New Roman"/>
          <w:sz w:val="20"/>
          <w:u w:val="single"/>
        </w:rPr>
        <w:t>Section 3.06(b)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Party</w:t>
      </w:r>
      <w:r>
        <w:rPr>
          <w:rFonts w:ascii="Times New Roman" w:hAnsi="Times New Roman"/>
          <w:sz w:val="20"/>
        </w:rPr>
        <w:t>” or “</w:t>
      </w:r>
      <w:r>
        <w:rPr>
          <w:rFonts w:ascii="Times New Roman" w:hAnsi="Times New Roman"/>
          <w:sz w:val="20"/>
          <w:u w:val="single"/>
        </w:rPr>
        <w:t>Parties</w:t>
      </w:r>
      <w:r>
        <w:rPr>
          <w:rFonts w:ascii="Times New Roman" w:hAnsi="Times New Roman"/>
          <w:sz w:val="20"/>
        </w:rPr>
        <w:t xml:space="preserve">” means each of Parent, Merger Sub, the Company and Seller. </w:t>
      </w:r>
    </w:p>
    <w:p>
      <w:pPr>
        <w:pStyle w:val="TextBody"/>
        <w:bidi w:val="0"/>
        <w:spacing w:before="240" w:after="0"/>
        <w:jc w:val="left"/>
        <w:rPr/>
      </w:pPr>
      <w:r>
        <w:rPr/>
        <w:t>“</w:t>
      </w:r>
      <w:r>
        <w:rPr>
          <w:rFonts w:ascii="Times New Roman" w:hAnsi="Times New Roman"/>
          <w:sz w:val="20"/>
          <w:u w:val="single"/>
        </w:rPr>
        <w:t>Permit</w:t>
      </w:r>
      <w:r>
        <w:rPr>
          <w:rFonts w:ascii="Times New Roman" w:hAnsi="Times New Roman"/>
          <w:sz w:val="20"/>
        </w:rPr>
        <w:t xml:space="preserve">” means all franchises, authorizations, consents, approvals, licenses, registrations, certificates, permits, exemptions, or other rights or privileges issued by any Governmental Authority.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any individual or any corporation, association, partnership, limited liability company, joint venture, joint stock or other company, business trust, trust, organization (including an unincorporated organization), any other business entity, Governmental Authority, labor union or other entity of any kind. </w:t>
      </w:r>
    </w:p>
    <w:p>
      <w:pPr>
        <w:pStyle w:val="TextBody"/>
        <w:bidi w:val="0"/>
        <w:spacing w:before="240" w:after="0"/>
        <w:jc w:val="left"/>
        <w:rPr/>
      </w:pPr>
      <w:r>
        <w:rPr/>
        <w:t>“</w:t>
      </w:r>
      <w:r>
        <w:rPr>
          <w:rFonts w:ascii="Times New Roman" w:hAnsi="Times New Roman"/>
          <w:sz w:val="20"/>
          <w:u w:val="single"/>
        </w:rPr>
        <w:t>Personal Information</w:t>
      </w:r>
      <w:r>
        <w:rPr>
          <w:rFonts w:ascii="Times New Roman" w:hAnsi="Times New Roman"/>
          <w:sz w:val="20"/>
        </w:rPr>
        <w:t xml:space="preserve">” means information that is considered “personally identifiable information,” “personal information,” “personal data,” or any similar term under any applicable Data Privacy Laws and any information identifying, describing, relating to, or reasonably capable of being associated with or linked to, directly or indirectly, an identified or identifiable natural person or household. </w:t>
      </w:r>
    </w:p>
    <w:p>
      <w:pPr>
        <w:pStyle w:val="TextBody"/>
        <w:bidi w:val="0"/>
        <w:spacing w:before="240" w:after="0"/>
        <w:jc w:val="left"/>
        <w:rPr/>
      </w:pPr>
      <w:r>
        <w:rPr/>
        <w:t>“</w:t>
      </w:r>
      <w:r>
        <w:rPr>
          <w:rFonts w:ascii="Times New Roman" w:hAnsi="Times New Roman"/>
          <w:sz w:val="20"/>
          <w:u w:val="single"/>
        </w:rPr>
        <w:t>Post-Closing Adjustment Amount</w:t>
      </w:r>
      <w:r>
        <w:rPr>
          <w:rFonts w:ascii="Times New Roman" w:hAnsi="Times New Roman"/>
          <w:sz w:val="20"/>
        </w:rPr>
        <w:t xml:space="preserve">” means an amount in cash equal to the Final Aggregate Consideration minus the Estimated Aggregate Consideration, which, for the avoidance of doubt, may be a positive or negative number. </w:t>
      </w:r>
    </w:p>
    <w:p>
      <w:pPr>
        <w:pStyle w:val="TextBody"/>
        <w:bidi w:val="0"/>
        <w:spacing w:before="240" w:after="0"/>
        <w:jc w:val="left"/>
        <w:rPr/>
      </w:pPr>
      <w:r>
        <w:rPr/>
        <w:t>“</w:t>
      </w:r>
      <w:r>
        <w:rPr>
          <w:rFonts w:ascii="Times New Roman" w:hAnsi="Times New Roman"/>
          <w:sz w:val="20"/>
          <w:u w:val="single"/>
        </w:rPr>
        <w:t>Pre-Closing Income Tax Accrual Amount</w:t>
      </w:r>
      <w:r>
        <w:rPr>
          <w:rFonts w:ascii="Times New Roman" w:hAnsi="Times New Roman"/>
          <w:sz w:val="20"/>
        </w:rPr>
        <w:t xml:space="preserve">” means an amount, not less than zero, equal to the aggregate amount of Income Taxes imposed on any member of the Company Group for any Pre-Closing Tax Period that are accrued but unpaid as of the Closing and not yet due and payable, solely in jurisdictions in which the applicable member currently files Income Tax Returns, calculated (a) in accordance with the past practices of the applicable member of the Company Group, except as otherwise required by applicable Law; (b) in the case of a Straddle Period, consistent with </w:t>
      </w:r>
      <w:r>
        <w:rPr>
          <w:rFonts w:ascii="Times New Roman" w:hAnsi="Times New Roman"/>
          <w:sz w:val="20"/>
          <w:u w:val="single"/>
        </w:rPr>
        <w:t>Section 6.05(a)</w:t>
      </w:r>
      <w:r>
        <w:rPr>
          <w:rFonts w:ascii="Times New Roman" w:hAnsi="Times New Roman"/>
          <w:sz w:val="20"/>
        </w:rPr>
        <w:t xml:space="preserve">; (c) on an entity-by-entity, jurisdiction-by-jurisdiction and type of Tax-by-type of Tax basis, with zero dollars ($0) being the lowest amount for any such entity, jurisdiction and type of Tax, after reducing each such amount by all estimated payments, prepayments, overpayments and credits arising or paid in any Pre-Closing Tax Periods and available to reduce such Income Taxes; (d) by taking into account all deductions and all available net operating losses, credits and other Tax attributes arising in any Pre-Closing Tax Period and available to reduce such Income Taxes; (e) by including in taxable income only the portion of any adjustment made pursuant to Section 481 of the Code (or any corresponding provision of state, local or non-U.S. Law) that is required under applicable Law to be included in income in a Pre-Closing Tax Period, to the extent such portion will not previously have been included in income by the applicable member of the Company Group and (f) excluding (i) any reserve for contingent or uncertain Tax positions and any disputed or contested amount, (ii) any Taxes resulting from the Mergers or any other Transactions, (iii) any Taxes arising from any action taken by Parent or its Affiliates (including the Company Group) after the Effective Time on the Closing Date outside the Ordinary Course of Business (except as otherwise expressly contemplated in this Agreement), and (iv) any amount included in Closing Net Working Capital, Closing Transaction Expenses or any other component of Closing Indebtedness. </w:t>
      </w:r>
    </w:p>
    <w:p>
      <w:pPr>
        <w:pStyle w:val="TextBody"/>
        <w:bidi w:val="0"/>
        <w:spacing w:before="240" w:after="0"/>
        <w:jc w:val="left"/>
        <w:rPr/>
      </w:pPr>
      <w:r>
        <w:rPr/>
        <w:t>“</w:t>
      </w:r>
      <w:r>
        <w:rPr>
          <w:rFonts w:ascii="Times New Roman" w:hAnsi="Times New Roman"/>
          <w:sz w:val="20"/>
          <w:u w:val="single"/>
        </w:rPr>
        <w:t>Pre-Closing Tax Period</w:t>
      </w:r>
      <w:r>
        <w:rPr>
          <w:rFonts w:ascii="Times New Roman" w:hAnsi="Times New Roman"/>
          <w:sz w:val="20"/>
        </w:rPr>
        <w:t xml:space="preserve">” means any taxable period ending on or before the Closing Date; and, with respect to a Straddle Period, the portion of such Straddle Period ending on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Privacy and Data Security Requirements</w:t>
      </w:r>
      <w:r>
        <w:rPr>
          <w:rFonts w:ascii="Times New Roman" w:hAnsi="Times New Roman"/>
          <w:sz w:val="20"/>
        </w:rPr>
        <w:t>” means (a) any applicable Laws regulating the recording, importing, exporting, collecting, accessing, using, disclosing, selling, transmitting, transferring (including cross border transfers), securing, sharing, distributing, storing, maintaining, retaining, deleting, disposing, modifying, protecting, safeguarding, privacy, or processing (collectively, “</w:t>
      </w:r>
      <w:r>
        <w:rPr>
          <w:rFonts w:ascii="Times New Roman" w:hAnsi="Times New Roman"/>
          <w:sz w:val="20"/>
          <w:u w:val="single"/>
        </w:rPr>
        <w:t>Processing</w:t>
      </w:r>
      <w:r>
        <w:rPr>
          <w:rFonts w:ascii="Times New Roman" w:hAnsi="Times New Roman"/>
          <w:sz w:val="20"/>
        </w:rPr>
        <w:t>”) of Personal Information, or security breach notification requirements (including, for example and as applicable, the California Consumer Privacy Act, the Personal Information Protection and Electronic Documents Act (“</w:t>
      </w:r>
      <w:r>
        <w:rPr>
          <w:rFonts w:ascii="Times New Roman" w:hAnsi="Times New Roman"/>
          <w:sz w:val="20"/>
          <w:u w:val="single"/>
        </w:rPr>
        <w:t>PIPEDA</w:t>
      </w:r>
      <w:r>
        <w:rPr>
          <w:rFonts w:ascii="Times New Roman" w:hAnsi="Times New Roman"/>
          <w:sz w:val="20"/>
        </w:rPr>
        <w:t>”), the Controlling the Assault of Non-Solicited Pornography and Marketing Act of 2003 (“</w:t>
      </w:r>
      <w:r>
        <w:rPr>
          <w:rFonts w:ascii="Times New Roman" w:hAnsi="Times New Roman"/>
          <w:sz w:val="20"/>
          <w:u w:val="single"/>
        </w:rPr>
        <w:t>CAN-SPAM</w:t>
      </w:r>
      <w:r>
        <w:rPr>
          <w:rFonts w:ascii="Times New Roman" w:hAnsi="Times New Roman"/>
          <w:sz w:val="20"/>
        </w:rPr>
        <w:t>”), the Telephone Consumer Protection Act (“</w:t>
      </w:r>
      <w:r>
        <w:rPr>
          <w:rFonts w:ascii="Times New Roman" w:hAnsi="Times New Roman"/>
          <w:sz w:val="20"/>
          <w:u w:val="single"/>
        </w:rPr>
        <w:t>TCPA</w:t>
      </w:r>
      <w:r>
        <w:rPr>
          <w:rFonts w:ascii="Times New Roman" w:hAnsi="Times New Roman"/>
          <w:sz w:val="20"/>
        </w:rPr>
        <w:t>”), the Payment Card Industry Data Security Standards (“</w:t>
      </w:r>
      <w:r>
        <w:rPr>
          <w:rFonts w:ascii="Times New Roman" w:hAnsi="Times New Roman"/>
          <w:sz w:val="20"/>
          <w:u w:val="single"/>
        </w:rPr>
        <w:t>PCI-DSS</w:t>
      </w:r>
      <w:r>
        <w:rPr>
          <w:rFonts w:ascii="Times New Roman" w:hAnsi="Times New Roman"/>
          <w:sz w:val="20"/>
        </w:rPr>
        <w:t>”), all state and federal laws related to unfair or deceptive trade practices, and other international, foreign, federal, local, and state data security and data privacy Laws (collectively, “</w:t>
      </w:r>
      <w:r>
        <w:rPr>
          <w:rFonts w:ascii="Times New Roman" w:hAnsi="Times New Roman"/>
          <w:sz w:val="20"/>
          <w:u w:val="single"/>
        </w:rPr>
        <w:t>Data Privacy Laws</w:t>
      </w:r>
      <w:r>
        <w:rPr>
          <w:rFonts w:ascii="Times New Roman" w:hAnsi="Times New Roman"/>
          <w:sz w:val="20"/>
        </w:rPr>
        <w:t xml:space="preserve">”); (b) obligations under all Contracts to which such member of the Company Group is a party, or by which such party is bound, that relate to the Processing of Personal Information or the protection of IT Systems; and (c) all publicly posted written policies of such member of the Company Group regarding the Processing of Personal Information. </w:t>
      </w:r>
    </w:p>
    <w:p>
      <w:pPr>
        <w:pStyle w:val="TextBody"/>
        <w:bidi w:val="0"/>
        <w:spacing w:before="240" w:after="0"/>
        <w:jc w:val="left"/>
        <w:rPr/>
      </w:pPr>
      <w:r>
        <w:rPr/>
        <w:t>“</w:t>
      </w:r>
      <w:r>
        <w:rPr>
          <w:rFonts w:ascii="Times New Roman" w:hAnsi="Times New Roman"/>
          <w:sz w:val="20"/>
          <w:u w:val="single"/>
        </w:rPr>
        <w:t>Protected Activity</w:t>
      </w:r>
      <w:r>
        <w:rPr>
          <w:rFonts w:ascii="Times New Roman" w:hAnsi="Times New Roman"/>
          <w:sz w:val="20"/>
        </w:rPr>
        <w:t xml:space="preserve">” means any activity involving the design, development, manufacture or assembly of finished firearms or finished suppressors, in each case regardless of the customer or end use thereof, and regardless of whether such activity is engaged in directly or through a joint venture, licensing arrangement, or similar business relationship. For the avoidance of doubt, the design, development, manufacture, assembly, marketing, distribution, sale or other similar transaction in respect of ammunition or ammunition components is not a Protected Activity. </w:t>
      </w:r>
    </w:p>
    <w:p>
      <w:pPr>
        <w:pStyle w:val="TextBody"/>
        <w:bidi w:val="0"/>
        <w:spacing w:before="240" w:after="0"/>
        <w:jc w:val="left"/>
        <w:rPr/>
      </w:pPr>
      <w:r>
        <w:rPr/>
        <w:t>“</w:t>
      </w:r>
      <w:r>
        <w:rPr>
          <w:rFonts w:ascii="Times New Roman" w:hAnsi="Times New Roman"/>
          <w:sz w:val="20"/>
          <w:u w:val="single"/>
        </w:rPr>
        <w:t>Public Official</w:t>
      </w:r>
      <w:r>
        <w:rPr>
          <w:rFonts w:ascii="Times New Roman" w:hAnsi="Times New Roman"/>
          <w:sz w:val="20"/>
        </w:rPr>
        <w:t xml:space="preserve">” means: (a) any officer, employee or representative of any Governmental Authority; (b) any officer, employee or representative of any commercial enterprise that is owned or controlled by a Governmental Authority; (c) any officer, employee or representative of any public international organization, such as the International Monetary Fund, the United Nations or the World Bank; (d) any Person acting in an official capacity for any Governmental Authority or any enterprise or organization identified in </w:t>
      </w:r>
      <w:r>
        <w:rPr>
          <w:rFonts w:ascii="Times New Roman" w:hAnsi="Times New Roman"/>
          <w:sz w:val="20"/>
          <w:u w:val="single"/>
        </w:rPr>
        <w:t>clause (a)</w:t>
      </w:r>
      <w:r>
        <w:rPr>
          <w:rFonts w:ascii="Times New Roman" w:hAnsi="Times New Roman"/>
          <w:sz w:val="20"/>
        </w:rPr>
        <w:t xml:space="preserve"> or </w:t>
      </w:r>
      <w:r>
        <w:rPr>
          <w:rFonts w:ascii="Times New Roman" w:hAnsi="Times New Roman"/>
          <w:sz w:val="20"/>
          <w:u w:val="single"/>
        </w:rPr>
        <w:t>(c)</w:t>
      </w:r>
      <w:r>
        <w:rPr>
          <w:rFonts w:ascii="Times New Roman" w:hAnsi="Times New Roman"/>
          <w:sz w:val="20"/>
        </w:rPr>
        <w:t xml:space="preserve"> above; and (e) any political party, party official or candidate for political office. </w:t>
      </w:r>
    </w:p>
    <w:p>
      <w:pPr>
        <w:pStyle w:val="TextBody"/>
        <w:bidi w:val="0"/>
        <w:spacing w:before="240" w:after="0"/>
        <w:jc w:val="left"/>
        <w:rPr/>
      </w:pPr>
      <w:r>
        <w:rPr/>
        <w:t>“</w:t>
      </w:r>
      <w:r>
        <w:rPr>
          <w:rFonts w:ascii="Times New Roman" w:hAnsi="Times New Roman"/>
          <w:sz w:val="20"/>
          <w:u w:val="single"/>
        </w:rPr>
        <w:t>R&amp;W Insurance Policy</w:t>
      </w:r>
      <w:r>
        <w:rPr>
          <w:rFonts w:ascii="Times New Roman" w:hAnsi="Times New Roman"/>
          <w:sz w:val="20"/>
        </w:rPr>
        <w:t xml:space="preserve">” has the meaning set forth in </w:t>
      </w:r>
      <w:r>
        <w:rPr>
          <w:rFonts w:ascii="Times New Roman" w:hAnsi="Times New Roman"/>
          <w:sz w:val="20"/>
          <w:u w:val="single"/>
        </w:rPr>
        <w:t>Section 6.06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Reference Price</w:t>
      </w:r>
      <w:r>
        <w:rPr>
          <w:rFonts w:ascii="Times New Roman" w:hAnsi="Times New Roman"/>
          <w:sz w:val="20"/>
        </w:rPr>
        <w:t xml:space="preserve">” means $13.62. </w:t>
      </w:r>
    </w:p>
    <w:p>
      <w:pPr>
        <w:pStyle w:val="TextBody"/>
        <w:bidi w:val="0"/>
        <w:spacing w:before="240" w:after="0"/>
        <w:jc w:val="left"/>
        <w:rPr/>
      </w:pPr>
      <w:r>
        <w:rPr/>
        <w:t>“</w:t>
      </w:r>
      <w:r>
        <w:rPr>
          <w:rFonts w:ascii="Times New Roman" w:hAnsi="Times New Roman"/>
          <w:sz w:val="20"/>
          <w:u w:val="single"/>
        </w:rPr>
        <w:t>Registered Intellectual Property</w:t>
      </w:r>
      <w:r>
        <w:rPr>
          <w:rFonts w:ascii="Times New Roman" w:hAnsi="Times New Roman"/>
          <w:sz w:val="20"/>
        </w:rPr>
        <w:t xml:space="preserve">” means all Intellectual Property that is the subject of a registration or an application for registration in any jurisdiction throughout the world, including, without limitation, patents, Trademarks, copyrights, and Domain Names. </w:t>
      </w:r>
    </w:p>
    <w:p>
      <w:pPr>
        <w:pStyle w:val="TextBody"/>
        <w:bidi w:val="0"/>
        <w:spacing w:before="240" w:after="0"/>
        <w:jc w:val="left"/>
        <w:rPr/>
      </w:pPr>
      <w:r>
        <w:rPr/>
        <w:t>“</w:t>
      </w:r>
      <w:r>
        <w:rPr>
          <w:rFonts w:ascii="Times New Roman" w:hAnsi="Times New Roman"/>
          <w:sz w:val="20"/>
          <w:u w:val="single"/>
        </w:rPr>
        <w:t>Related Party</w:t>
      </w:r>
      <w:r>
        <w:rPr>
          <w:rFonts w:ascii="Times New Roman" w:hAnsi="Times New Roman"/>
          <w:sz w:val="20"/>
        </w:rPr>
        <w:t xml:space="preserve">” has the meaning set forth in </w:t>
      </w:r>
      <w:r>
        <w:rPr>
          <w:rFonts w:ascii="Times New Roman" w:hAnsi="Times New Roman"/>
          <w:sz w:val="20"/>
          <w:u w:val="single"/>
        </w:rPr>
        <w:t>Section 4.19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Related Party Arrangement</w:t>
      </w:r>
      <w:r>
        <w:rPr>
          <w:rFonts w:ascii="Times New Roman" w:hAnsi="Times New Roman"/>
          <w:sz w:val="20"/>
        </w:rPr>
        <w:t xml:space="preserve">” has the meaning set forth in </w:t>
      </w:r>
      <w:r>
        <w:rPr>
          <w:rFonts w:ascii="Times New Roman" w:hAnsi="Times New Roman"/>
          <w:sz w:val="20"/>
          <w:u w:val="single"/>
        </w:rPr>
        <w:t>Section 4.19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Release</w:t>
      </w:r>
      <w:r>
        <w:rPr>
          <w:rFonts w:ascii="Times New Roman" w:hAnsi="Times New Roman"/>
          <w:sz w:val="20"/>
        </w:rPr>
        <w:t xml:space="preserve">” means any release, spill, emission, emptying, leaking, dumping, injection, escaping, pumping, pouring, deposit, disposal, discharge, dispersal, or leaching into or through the environment. </w:t>
      </w:r>
    </w:p>
    <w:p>
      <w:pPr>
        <w:pStyle w:val="TextBody"/>
        <w:bidi w:val="0"/>
        <w:spacing w:before="240" w:after="0"/>
        <w:jc w:val="left"/>
        <w:rPr/>
      </w:pPr>
      <w:r>
        <w:rPr/>
        <w:t>“</w:t>
      </w:r>
      <w:r>
        <w:rPr>
          <w:rFonts w:ascii="Times New Roman" w:hAnsi="Times New Roman"/>
          <w:sz w:val="20"/>
          <w:u w:val="single"/>
        </w:rPr>
        <w:t>Remittance Amount</w:t>
      </w:r>
      <w:r>
        <w:rPr>
          <w:rFonts w:ascii="Times New Roman" w:hAnsi="Times New Roman"/>
          <w:sz w:val="20"/>
        </w:rPr>
        <w:t xml:space="preserve">” shall have the meaning given to such term in </w:t>
      </w:r>
      <w:r>
        <w:rPr>
          <w:rFonts w:ascii="Times New Roman" w:hAnsi="Times New Roman"/>
          <w:sz w:val="20"/>
          <w:u w:val="single"/>
        </w:rPr>
        <w:t>Section 6.14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Restricted Cash</w:t>
      </w:r>
      <w:r>
        <w:rPr>
          <w:rFonts w:ascii="Times New Roman" w:hAnsi="Times New Roman"/>
          <w:sz w:val="20"/>
        </w:rPr>
        <w:t xml:space="preserve">” means all cash and cash equivalents of the Company Group that are not freely usable by the Company Group as of the Effective Time and are subject to legal, regulatory, contractual or other restrictions on withdrawal, transfer, distribution, pledge or general corporate use, including security deposits, escrowed amounts, reserve accounts, compensating balance arrangements, blocked accounts, cash pledged as collateral, landlord deposits, customer or vendor guarantee deposits, and any other cash required to be maintained pursuant to any Contract, financing arrangement, insurance program, regulatory requirement or other obligation, whether or not segregated in a separate account.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Restricted Period</w:t>
      </w:r>
      <w:r>
        <w:rPr>
          <w:rFonts w:ascii="Times New Roman" w:hAnsi="Times New Roman"/>
          <w:sz w:val="20"/>
        </w:rPr>
        <w:t xml:space="preserve">” shall have the meaning given to such term in </w:t>
      </w:r>
      <w:r>
        <w:rPr>
          <w:rFonts w:ascii="Times New Roman" w:hAnsi="Times New Roman"/>
          <w:sz w:val="20"/>
          <w:u w:val="single"/>
        </w:rPr>
        <w:t>Section 6.07(a)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Representatives</w:t>
      </w:r>
      <w:r>
        <w:rPr>
          <w:rFonts w:ascii="Times New Roman" w:hAnsi="Times New Roman"/>
          <w:sz w:val="20"/>
        </w:rPr>
        <w:t xml:space="preserve">” means, with respect to any Person, its directors, officers, managers, employees, consultants, agents, advisor, or other representative of such Person, including legal counsel, accountants and financial advisors. </w:t>
      </w:r>
    </w:p>
    <w:p>
      <w:pPr>
        <w:pStyle w:val="TextBody"/>
        <w:bidi w:val="0"/>
        <w:spacing w:before="240" w:after="0"/>
        <w:jc w:val="left"/>
        <w:rPr/>
      </w:pPr>
      <w:r>
        <w:rPr/>
        <w:t>“</w:t>
      </w:r>
      <w:r>
        <w:rPr>
          <w:rFonts w:ascii="Times New Roman" w:hAnsi="Times New Roman"/>
          <w:sz w:val="20"/>
          <w:u w:val="single"/>
        </w:rPr>
        <w:t>Retained Shared Contract</w:t>
      </w:r>
      <w:r>
        <w:rPr>
          <w:rFonts w:ascii="Times New Roman" w:hAnsi="Times New Roman"/>
          <w:sz w:val="20"/>
        </w:rPr>
        <w:t xml:space="preserve">” has the meaning set forth in </w:t>
      </w:r>
      <w:r>
        <w:rPr>
          <w:rFonts w:ascii="Times New Roman" w:hAnsi="Times New Roman"/>
          <w:sz w:val="20"/>
          <w:u w:val="single"/>
        </w:rPr>
        <w:t>Section 6.13(a)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Review Period</w:t>
      </w:r>
      <w:r>
        <w:rPr>
          <w:rFonts w:ascii="Times New Roman" w:hAnsi="Times New Roman"/>
          <w:sz w:val="20"/>
        </w:rPr>
        <w:t xml:space="preserve">” has the meaning set forth in </w:t>
      </w:r>
      <w:r>
        <w:rPr>
          <w:rFonts w:ascii="Times New Roman" w:hAnsi="Times New Roman"/>
          <w:sz w:val="20"/>
          <w:u w:val="single"/>
        </w:rPr>
        <w:t>Section 2.05(b)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Sanctioned Country</w:t>
      </w:r>
      <w:r>
        <w:rPr>
          <w:rFonts w:ascii="Times New Roman" w:hAnsi="Times New Roman"/>
          <w:sz w:val="20"/>
        </w:rPr>
        <w:t xml:space="preserve">” means any country or region or government thereof that is the subject or target of a comprehensive embargo under Global Trade Laws (including Cuba, Iran, North Korea, Syria, Venezuela, the Crimea, the so-called “Donetsk People’s Republic” and the so-called “Luhansk People’s Republic” regions of Ukraine). </w:t>
      </w:r>
    </w:p>
    <w:p>
      <w:pPr>
        <w:pStyle w:val="TextBody"/>
        <w:bidi w:val="0"/>
        <w:spacing w:before="240" w:after="0"/>
        <w:jc w:val="left"/>
        <w:rPr/>
      </w:pPr>
      <w:r>
        <w:rPr/>
        <w:t>“</w:t>
      </w:r>
      <w:r>
        <w:rPr>
          <w:rFonts w:ascii="Times New Roman" w:hAnsi="Times New Roman"/>
          <w:sz w:val="20"/>
          <w:u w:val="single"/>
        </w:rPr>
        <w:t>Sanctioned Person</w:t>
      </w:r>
      <w:r>
        <w:rPr>
          <w:rFonts w:ascii="Times New Roman" w:hAnsi="Times New Roman"/>
          <w:sz w:val="20"/>
        </w:rPr>
        <w:t>” means any Person that is the subject or target of sanctions or restrictions under Global Trade Laws including: (a) any Person listed on any U.S. or non-U.S. sanctions- or export-related restricted party list, including the U.S. Department of the Treasury Office of Foreign Assets Control’s (“</w:t>
      </w:r>
      <w:r>
        <w:rPr>
          <w:rFonts w:ascii="Times New Roman" w:hAnsi="Times New Roman"/>
          <w:sz w:val="20"/>
          <w:u w:val="single"/>
        </w:rPr>
        <w:t>OFAC</w:t>
      </w:r>
      <w:r>
        <w:rPr>
          <w:rFonts w:ascii="Times New Roman" w:hAnsi="Times New Roman"/>
          <w:sz w:val="20"/>
        </w:rPr>
        <w:t xml:space="preserve">”) List of Specially Designated Nationals and Blocked Persons, or any other OFAC, U.S. Department of Commerce Bureau of Industry and Security, or U.S. Department of State sanctions- or export-related restricted party list; (b) any Person located, organized or resident in a Sanctioned Country; (c) any Person that is, in the aggregate, 50 percent or greater owned, directly or indirectly, or otherwise controlled, by a Person or Persons described in </w:t>
      </w:r>
      <w:r>
        <w:rPr>
          <w:rFonts w:ascii="Times New Roman" w:hAnsi="Times New Roman"/>
          <w:sz w:val="20"/>
          <w:u w:val="single"/>
        </w:rPr>
        <w:t>clauses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or (d) any national of a Sanctioned Country with whom U.S. Persons are prohibited from dealing. </w:t>
      </w:r>
    </w:p>
    <w:p>
      <w:pPr>
        <w:pStyle w:val="TextBody"/>
        <w:bidi w:val="0"/>
        <w:spacing w:before="240" w:after="0"/>
        <w:jc w:val="left"/>
        <w:rPr/>
      </w:pPr>
      <w:r>
        <w:rPr/>
        <w:t>“</w:t>
      </w:r>
      <w:r>
        <w:rPr>
          <w:rFonts w:ascii="Times New Roman" w:hAnsi="Times New Roman"/>
          <w:sz w:val="20"/>
          <w:u w:val="single"/>
        </w:rPr>
        <w:t>Sanctions</w:t>
      </w:r>
      <w:r>
        <w:rPr>
          <w:rFonts w:ascii="Times New Roman" w:hAnsi="Times New Roman"/>
          <w:sz w:val="20"/>
        </w:rPr>
        <w:t xml:space="preserve">” means all U.S. and applicable non-U.S. Laws relating to economic or trade sanctions, including the Laws administered or enforced by the United States (including by OFAC or the U.S. Department of State) and the United Nations Security Council. </w:t>
      </w:r>
    </w:p>
    <w:p>
      <w:pPr>
        <w:pStyle w:val="TextBody"/>
        <w:bidi w:val="0"/>
        <w:spacing w:before="240" w:after="0"/>
        <w:jc w:val="left"/>
        <w:rPr/>
      </w:pPr>
      <w:r>
        <w:rPr/>
        <w:t>“</w:t>
      </w:r>
      <w:r>
        <w:rPr>
          <w:rFonts w:ascii="Times New Roman" w:hAnsi="Times New Roman"/>
          <w:sz w:val="20"/>
          <w:u w:val="single"/>
        </w:rPr>
        <w:t>Savarms Holdings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Savarms Merger</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sz w:val="20"/>
          <w:u w:val="single"/>
        </w:rPr>
        <w:t>Second Certificate of Merger</w:t>
      </w:r>
      <w:r>
        <w:rPr>
          <w:rFonts w:ascii="Times New Roman" w:hAnsi="Times New Roman"/>
          <w:sz w:val="20"/>
        </w:rPr>
        <w:t xml:space="preserve">” has the meaning set forth in </w:t>
      </w:r>
      <w:r>
        <w:rPr>
          <w:rFonts w:ascii="Times New Roman" w:hAnsi="Times New Roman"/>
          <w:sz w:val="20"/>
          <w:u w:val="single"/>
        </w:rPr>
        <w:t>Section 1.03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Securities Act of 1933. </w:t>
      </w:r>
    </w:p>
    <w:p>
      <w:pPr>
        <w:pStyle w:val="TextBody"/>
        <w:bidi w:val="0"/>
        <w:spacing w:before="240" w:after="0"/>
        <w:jc w:val="left"/>
        <w:rPr/>
      </w:pPr>
      <w:r>
        <w:rPr/>
        <w:t>“</w:t>
      </w:r>
      <w:r>
        <w:rPr>
          <w:rFonts w:ascii="Times New Roman" w:hAnsi="Times New Roman"/>
          <w:sz w:val="20"/>
          <w:u w:val="single"/>
        </w:rPr>
        <w:t>Seller</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Seller Indemnified Parties</w:t>
      </w:r>
      <w:r>
        <w:rPr>
          <w:rFonts w:ascii="Times New Roman" w:hAnsi="Times New Roman"/>
          <w:sz w:val="20"/>
        </w:rPr>
        <w:t xml:space="preserve">” means Seller and its Affiliates (excluding, for the avoidance of doubt, the Company Group) and their respective Representatives, together with the successors thereto and assigns thereof. </w:t>
      </w:r>
    </w:p>
    <w:p>
      <w:pPr>
        <w:pStyle w:val="TextBody"/>
        <w:bidi w:val="0"/>
        <w:spacing w:before="240" w:after="0"/>
        <w:jc w:val="left"/>
        <w:rPr/>
      </w:pPr>
      <w:r>
        <w:rPr/>
        <w:t>“</w:t>
      </w:r>
      <w:r>
        <w:rPr>
          <w:rFonts w:ascii="Times New Roman" w:hAnsi="Times New Roman"/>
          <w:sz w:val="20"/>
          <w:u w:val="single"/>
        </w:rPr>
        <w:t>Seller Parent</w:t>
      </w:r>
      <w:r>
        <w:rPr>
          <w:rFonts w:ascii="Times New Roman" w:hAnsi="Times New Roman"/>
          <w:sz w:val="20"/>
        </w:rPr>
        <w:t xml:space="preserve">” means JDH Capital I, L.P., a Delaware limited partnership. </w:t>
      </w:r>
    </w:p>
    <w:p>
      <w:pPr>
        <w:pStyle w:val="TextBody"/>
        <w:bidi w:val="0"/>
        <w:spacing w:before="240" w:after="0"/>
        <w:jc w:val="left"/>
        <w:rPr/>
      </w:pPr>
      <w:r>
        <w:rPr/>
        <w:t>“</w:t>
      </w:r>
      <w:r>
        <w:rPr>
          <w:rFonts w:ascii="Times New Roman" w:hAnsi="Times New Roman"/>
          <w:sz w:val="20"/>
          <w:u w:val="single"/>
        </w:rPr>
        <w:t>Seller Parent Guaranty</w:t>
      </w:r>
      <w:r>
        <w:rPr>
          <w:rFonts w:ascii="Times New Roman" w:hAnsi="Times New Roman"/>
          <w:sz w:val="20"/>
        </w:rPr>
        <w:t xml:space="preserve">” means that certain guaranty from Seller Parent, in the form attached hereto as </w:t>
      </w:r>
      <w:r>
        <w:rPr>
          <w:rFonts w:ascii="Times New Roman" w:hAnsi="Times New Roman"/>
          <w:sz w:val="20"/>
          <w:u w:val="single"/>
        </w:rPr>
        <w:t>Exhibit G</w:t>
      </w:r>
      <w:r>
        <w:rPr>
          <w:rFonts w:ascii="Times New Roman" w:hAnsi="Times New Roman"/>
          <w:sz w:val="20"/>
        </w:rPr>
        <w:t xml:space="preserve">, to be executed and delivered by Seller Parent at or prior to the Closing. </w:t>
      </w:r>
    </w:p>
    <w:p>
      <w:pPr>
        <w:pStyle w:val="TextBody"/>
        <w:bidi w:val="0"/>
        <w:spacing w:before="240" w:after="0"/>
        <w:jc w:val="left"/>
        <w:rPr/>
      </w:pPr>
      <w:r>
        <w:rPr/>
        <w:t>“</w:t>
      </w:r>
      <w:r>
        <w:rPr>
          <w:rFonts w:ascii="Times New Roman" w:hAnsi="Times New Roman"/>
          <w:sz w:val="20"/>
          <w:u w:val="single"/>
        </w:rPr>
        <w:t>Shared Contracts</w:t>
      </w:r>
      <w:r>
        <w:rPr>
          <w:rFonts w:ascii="Times New Roman" w:hAnsi="Times New Roman"/>
          <w:sz w:val="20"/>
        </w:rPr>
        <w:t xml:space="preserve">” means the Contracts set forth in </w:t>
      </w:r>
      <w:r>
        <w:rPr>
          <w:rFonts w:ascii="Times New Roman" w:hAnsi="Times New Roman"/>
          <w:sz w:val="20"/>
          <w:u w:val="single"/>
        </w:rPr>
        <w:t>Schedule 6.13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Software</w:t>
      </w:r>
      <w:r>
        <w:rPr>
          <w:rFonts w:ascii="Times New Roman" w:hAnsi="Times New Roman"/>
          <w:sz w:val="20"/>
        </w:rPr>
        <w:t xml:space="preserve">” means any and all (a) computer programs and applications, including software implementations of algorithms, models, and methodologies, whether in source code, object code, human readable form, or other form; (b) databases, content management systems, data collection tools, and compilations, including any and all data and collections of data, whether machine readable or otherwise; (c) descriptions, flow charts, and other work product used to design, plan, organize, and develop any of the foregoing; (d) screens, user interfaces, graphics, report formats, firmware, development tools, templates, menus, buttons, and icons; (e) all documentation, including user manuals, specifications, materials, and other training documentation relating to any of the foregoing; and (f) any updates, enhancements, derivative works, foreign language versions, fixes, and modifications of any of the foregoing. </w:t>
      </w:r>
    </w:p>
    <w:p>
      <w:pPr>
        <w:pStyle w:val="TextBody"/>
        <w:bidi w:val="0"/>
        <w:spacing w:before="240" w:after="0"/>
        <w:jc w:val="left"/>
        <w:rPr/>
      </w:pPr>
      <w:r>
        <w:rPr/>
        <w:t>“</w:t>
      </w:r>
      <w:r>
        <w:rPr>
          <w:rFonts w:ascii="Times New Roman" w:hAnsi="Times New Roman"/>
          <w:sz w:val="20"/>
          <w:u w:val="single"/>
        </w:rPr>
        <w:t>Specified Matter</w:t>
      </w:r>
      <w:r>
        <w:rPr>
          <w:rFonts w:ascii="Times New Roman" w:hAnsi="Times New Roman"/>
          <w:sz w:val="20"/>
        </w:rPr>
        <w:t xml:space="preserve">” has the meaning set forth in </w:t>
      </w:r>
      <w:r>
        <w:rPr>
          <w:rFonts w:ascii="Times New Roman" w:hAnsi="Times New Roman"/>
          <w:sz w:val="20"/>
          <w:u w:val="single"/>
        </w:rPr>
        <w:t>Section 8.02(b)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Straddle Period</w:t>
      </w:r>
      <w:r>
        <w:rPr>
          <w:rFonts w:ascii="Times New Roman" w:hAnsi="Times New Roman"/>
          <w:sz w:val="20"/>
        </w:rPr>
        <w:t xml:space="preserve">” means any taxable period beginning on or before the Closing Date and ending after the Closing Date.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with respect to any specified Person, any other Person of which such specified Person, directly or indirectly through one or more Subsidiaries, (a) owns at least 50% of the outstanding Equity Interests or at least 50% of the voting power, the holders of which are entitled to appoint, or vote generally in the election of, the board of directors or similar governing body of such other Person, (b) has the power to generally direct the business and policies of that other Person as a general partner, managing member, manager or in similar capacity, or (c) has a right to a majority of the distributions, dividends or analogous payments of such Person. </w:t>
      </w:r>
    </w:p>
    <w:p>
      <w:pPr>
        <w:pStyle w:val="TextBody"/>
        <w:bidi w:val="0"/>
        <w:spacing w:before="240" w:after="0"/>
        <w:jc w:val="left"/>
        <w:rPr/>
      </w:pPr>
      <w:r>
        <w:rPr/>
        <w:t>“</w:t>
      </w:r>
      <w:r>
        <w:rPr>
          <w:rFonts w:ascii="Times New Roman" w:hAnsi="Times New Roman"/>
          <w:sz w:val="20"/>
          <w:u w:val="single"/>
        </w:rPr>
        <w:t>Supplemental Environmental Insurance Policy</w:t>
      </w:r>
      <w:r>
        <w:rPr>
          <w:rFonts w:ascii="Times New Roman" w:hAnsi="Times New Roman"/>
          <w:sz w:val="20"/>
        </w:rPr>
        <w:t xml:space="preserve">” means that certain environmental claims policy, issued by Berkley Insurance in the name of the Canadian Subsidiary. </w:t>
      </w:r>
    </w:p>
    <w:p>
      <w:pPr>
        <w:pStyle w:val="TextBody"/>
        <w:bidi w:val="0"/>
        <w:spacing w:before="240" w:after="0"/>
        <w:jc w:val="left"/>
        <w:rPr/>
      </w:pPr>
      <w:r>
        <w:rPr/>
        <w:t>“</w:t>
      </w:r>
      <w:r>
        <w:rPr>
          <w:rFonts w:ascii="Times New Roman" w:hAnsi="Times New Roman"/>
          <w:sz w:val="20"/>
          <w:u w:val="single"/>
        </w:rPr>
        <w:t>Surviving Company</w:t>
      </w:r>
      <w:r>
        <w:rPr>
          <w:rFonts w:ascii="Times New Roman" w:hAnsi="Times New Roman"/>
          <w:sz w:val="20"/>
        </w:rPr>
        <w:t xml:space="preserve">” has the meaning set forth in </w:t>
      </w:r>
      <w:r>
        <w:rPr>
          <w:rFonts w:ascii="Times New Roman" w:hAnsi="Times New Roman"/>
          <w:sz w:val="20"/>
          <w:u w:val="single"/>
        </w:rPr>
        <w:t>Section 1.01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Target Closing Net Working Capital</w:t>
      </w:r>
      <w:r>
        <w:rPr>
          <w:rFonts w:ascii="Times New Roman" w:hAnsi="Times New Roman"/>
          <w:sz w:val="20"/>
        </w:rPr>
        <w:t xml:space="preserve">” means $40,963,251.83, representing a normalized level of working capital determined in accordance with the Accounting Principles. </w:t>
      </w:r>
    </w:p>
    <w:p>
      <w:pPr>
        <w:pStyle w:val="TextBody"/>
        <w:bidi w:val="0"/>
        <w:spacing w:before="240" w:after="0"/>
        <w:jc w:val="left"/>
        <w:rPr/>
      </w:pPr>
      <w:r>
        <w:rPr/>
        <w:t>“</w:t>
      </w:r>
      <w:r>
        <w:rPr>
          <w:rFonts w:ascii="Times New Roman" w:hAnsi="Times New Roman"/>
          <w:sz w:val="20"/>
          <w:u w:val="single"/>
        </w:rPr>
        <w:t>Tax</w:t>
      </w:r>
      <w:r>
        <w:rPr>
          <w:rFonts w:ascii="Times New Roman" w:hAnsi="Times New Roman"/>
          <w:sz w:val="20"/>
        </w:rPr>
        <w:t>” or “</w:t>
      </w:r>
      <w:r>
        <w:rPr>
          <w:rFonts w:ascii="Times New Roman" w:hAnsi="Times New Roman"/>
          <w:sz w:val="20"/>
          <w:u w:val="single"/>
        </w:rPr>
        <w:t>Taxes</w:t>
      </w:r>
      <w:r>
        <w:rPr>
          <w:rFonts w:ascii="Times New Roman" w:hAnsi="Times New Roman"/>
          <w:sz w:val="20"/>
        </w:rPr>
        <w:t xml:space="preserve">” means (a) any U.S. federal, state, local, or non-U.S. tax or taxes, including (without limiting the generality of the foregoing) income, gross receipts, sales, use, production, ad valorem, transfer, franchise, registration, profits, license, lease, service, service use, withholding, payroll, employment, capital stock, social security, medicare, health, disability, alternative minimum, estimated, business license, tariffs, imposts, assessments, value added, imputed underpayment amounts, unemployment, excise, severance, environmental, stamp, occupation, premium, property (real or personal), real property gains, windfall profits, customs, duties, Canada Pension Plans, and unclaimed property or escheat taxes, and any duties, fees, obligations and charges of the same or a similar nature to any of the foregoing, whether computed on a separate or consolidated, unitary or combined basis or in any other manner, whether disputed or not, in each instance including any interest, penalties or other additions to tax related thereto; (b) any obligations with respect to such amounts described in clause (a) arising as a result of being a member of an affiliated, consolidated, combined or unitary group for any period; and (c) any obligations with respect to amounts described in clauses (a) or (b) as a result of being a transferee or successor to any Person, by operation of applicable Law, or under any agreements or arrangements with any other Person. </w:t>
      </w:r>
    </w:p>
    <w:p>
      <w:pPr>
        <w:pStyle w:val="TextBody"/>
        <w:bidi w:val="0"/>
        <w:spacing w:before="240" w:after="0"/>
        <w:jc w:val="left"/>
        <w:rPr/>
      </w:pPr>
      <w:r>
        <w:rPr/>
        <w:t>“</w:t>
      </w:r>
      <w:r>
        <w:rPr>
          <w:rFonts w:ascii="Times New Roman" w:hAnsi="Times New Roman"/>
          <w:sz w:val="20"/>
          <w:u w:val="single"/>
        </w:rPr>
        <w:t>Tail Policies</w:t>
      </w:r>
      <w:r>
        <w:rPr>
          <w:rFonts w:ascii="Times New Roman" w:hAnsi="Times New Roman"/>
          <w:sz w:val="20"/>
        </w:rPr>
        <w:t xml:space="preserve">” has the meaning set forth in </w:t>
      </w:r>
      <w:r>
        <w:rPr>
          <w:rFonts w:ascii="Times New Roman" w:hAnsi="Times New Roman"/>
          <w:sz w:val="20"/>
          <w:u w:val="single"/>
        </w:rPr>
        <w:t>Section 6.02(b)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Tax Return</w:t>
      </w:r>
      <w:r>
        <w:rPr>
          <w:rFonts w:ascii="Times New Roman" w:hAnsi="Times New Roman"/>
          <w:sz w:val="20"/>
        </w:rPr>
        <w:t xml:space="preserve">” means any return, declaration, statement, report, form, estimate or information return relating to Taxes, including any amendments thereto and any related or supporting information, filed or required to be filed with any Governmental Authority. </w:t>
      </w:r>
    </w:p>
    <w:p>
      <w:pPr>
        <w:pStyle w:val="TextBody"/>
        <w:bidi w:val="0"/>
        <w:spacing w:before="240" w:after="0"/>
        <w:jc w:val="left"/>
        <w:rPr/>
      </w:pPr>
      <w:r>
        <w:rPr/>
        <w:t>“</w:t>
      </w:r>
      <w:r>
        <w:rPr>
          <w:rFonts w:ascii="Times New Roman" w:hAnsi="Times New Roman"/>
          <w:sz w:val="20"/>
          <w:u w:val="single"/>
        </w:rPr>
        <w:t>Top Customer</w:t>
      </w:r>
      <w:r>
        <w:rPr>
          <w:rFonts w:ascii="Times New Roman" w:hAnsi="Times New Roman"/>
          <w:sz w:val="20"/>
        </w:rPr>
        <w:t xml:space="preserve">” has the meaning set forth in </w:t>
      </w:r>
      <w:r>
        <w:rPr>
          <w:rFonts w:ascii="Times New Roman" w:hAnsi="Times New Roman"/>
          <w:sz w:val="20"/>
          <w:u w:val="single"/>
        </w:rPr>
        <w:t>Section 4.25(a)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Top Vendor</w:t>
      </w:r>
      <w:r>
        <w:rPr>
          <w:rFonts w:ascii="Times New Roman" w:hAnsi="Times New Roman"/>
          <w:sz w:val="20"/>
        </w:rPr>
        <w:t xml:space="preserve">” has the meaning set forth in </w:t>
      </w:r>
      <w:r>
        <w:rPr>
          <w:rFonts w:ascii="Times New Roman" w:hAnsi="Times New Roman"/>
          <w:sz w:val="20"/>
          <w:u w:val="single"/>
        </w:rPr>
        <w:t>Section 4.25(b)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Trademarks</w:t>
      </w:r>
      <w:r>
        <w:rPr>
          <w:rFonts w:ascii="Times New Roman" w:hAnsi="Times New Roman"/>
          <w:sz w:val="20"/>
        </w:rPr>
        <w:t xml:space="preserve">” means trademarks, service marks, trade names, logos, corporate names, slogans, trade dress, or other source identifiers, including any registration or any application for registration therefor, together with all translations, adaptations, derivations, and combinations thereof, and including all goodwill associated therewith. </w:t>
      </w:r>
    </w:p>
    <w:p>
      <w:pPr>
        <w:pStyle w:val="TextBody"/>
        <w:bidi w:val="0"/>
        <w:spacing w:before="240" w:after="0"/>
        <w:jc w:val="left"/>
        <w:rPr/>
      </w:pPr>
      <w:r>
        <w:rPr/>
        <w:t>“</w:t>
      </w:r>
      <w:r>
        <w:rPr>
          <w:rFonts w:ascii="Times New Roman" w:hAnsi="Times New Roman"/>
          <w:sz w:val="20"/>
          <w:u w:val="single"/>
        </w:rPr>
        <w:t>Trading Day</w:t>
      </w:r>
      <w:r>
        <w:rPr>
          <w:rFonts w:ascii="Times New Roman" w:hAnsi="Times New Roman"/>
          <w:sz w:val="20"/>
        </w:rPr>
        <w:t xml:space="preserve">” means any day on which trading is generally conducted on The Nasdaq Stock Market or any other exchange on which the shares of Parent Common Stock are traded and published. </w:t>
      </w:r>
    </w:p>
    <w:p>
      <w:pPr>
        <w:pStyle w:val="TextBody"/>
        <w:bidi w:val="0"/>
        <w:spacing w:before="240" w:after="0"/>
        <w:jc w:val="left"/>
        <w:rPr/>
      </w:pPr>
      <w:r>
        <w:rPr/>
        <w:t>“</w:t>
      </w:r>
      <w:r>
        <w:rPr>
          <w:rFonts w:ascii="Times New Roman" w:hAnsi="Times New Roman"/>
          <w:sz w:val="20"/>
          <w:u w:val="single"/>
        </w:rPr>
        <w:t>Transaction Documents</w:t>
      </w:r>
      <w:r>
        <w:rPr>
          <w:rFonts w:ascii="Times New Roman" w:hAnsi="Times New Roman"/>
          <w:sz w:val="20"/>
        </w:rPr>
        <w:t xml:space="preserve">” means this Agreement, the Investor Rights Agreement, the Seller Parent Guaranty, and all other agreements, instruments and certificates contemplated hereby or thereby to which any Party is a party. </w:t>
      </w:r>
    </w:p>
    <w:p>
      <w:pPr>
        <w:pStyle w:val="TextBody"/>
        <w:bidi w:val="0"/>
        <w:spacing w:before="240" w:after="0"/>
        <w:jc w:val="left"/>
        <w:rPr/>
      </w:pPr>
      <w:r>
        <w:rPr/>
        <w:t>“</w:t>
      </w:r>
      <w:r>
        <w:rPr>
          <w:rFonts w:ascii="Times New Roman" w:hAnsi="Times New Roman"/>
          <w:sz w:val="20"/>
          <w:u w:val="single"/>
        </w:rPr>
        <w:t>Transactions</w:t>
      </w:r>
      <w:r>
        <w:rPr>
          <w:rFonts w:ascii="Times New Roman" w:hAnsi="Times New Roman"/>
          <w:sz w:val="20"/>
        </w:rPr>
        <w:t xml:space="preserve">” means the transactions contemplated by this Agreement and the other Transaction Documents, including the Mergers. </w:t>
      </w:r>
    </w:p>
    <w:p>
      <w:pPr>
        <w:pStyle w:val="TextBody"/>
        <w:bidi w:val="0"/>
        <w:spacing w:before="240" w:after="0"/>
        <w:jc w:val="left"/>
        <w:rPr/>
      </w:pPr>
      <w:r>
        <w:rPr/>
        <w:t>“</w:t>
      </w:r>
      <w:r>
        <w:rPr>
          <w:rFonts w:ascii="Times New Roman" w:hAnsi="Times New Roman"/>
          <w:sz w:val="20"/>
          <w:u w:val="single"/>
        </w:rPr>
        <w:t>Transaction Expenses</w:t>
      </w:r>
      <w:r>
        <w:rPr>
          <w:rFonts w:ascii="Times New Roman" w:hAnsi="Times New Roman"/>
          <w:sz w:val="20"/>
        </w:rPr>
        <w:t xml:space="preserve">” means, as of the Closing, whether payable prior to, at or after the Closing Date, the aggregate amount of all fees, expenses and other costs and amounts payable by Seller and the Company to any Person in connection with the negotiation, execution or delivery of this Agreement or the consummation of the Transactions, including, but not limited to, (i) any and all legal, accounting, consulting, investment banking, financial advisory and other out-of-pocket fees, costs and expenses payable by the Company or Seller in connection with this Agreement, the other Transaction Documents, any of the Transactions or the sale process for the Company (including any brokerage fees, commissions, finders’ fees or financial or professional advisory fees and any related costs and expenses), (ii) any sale bonus, discretionary bonus, success bonus, retention bonus, change of control bonus, phantom equity or similar payment (including any amounts payable under or in respect of the Savarms, L.P. Long-Term Incentive Plan (in connection with the termination and settlement of awards thereunder pursuant to </w:t>
      </w:r>
      <w:r>
        <w:rPr>
          <w:rFonts w:ascii="Times New Roman" w:hAnsi="Times New Roman"/>
          <w:sz w:val="20"/>
          <w:u w:val="single"/>
        </w:rPr>
        <w:t>Section 7.01(l)</w:t>
      </w:r>
      <w:r>
        <w:rPr>
          <w:rFonts w:ascii="Times New Roman" w:hAnsi="Times New Roman"/>
          <w:sz w:val="20"/>
        </w:rPr>
        <w:t xml:space="preserve">) payable solely as a result of the consummation of the Transaction, together with the employer-portion of any applicable social security, employment, payroll and other Taxes with respect to the foregoing, for which a Company Group member is responsible, incurred or payable (or that may become payable) by a Company Group member to any current or former officer, director, manager, independent contractor, employee or consultant of a Company Group member solely as a result of the consummation of the Transactions (and excluding any payments pursuant to “double-trigger” arrangements resulting in payments and/or benefits provided upon an involuntary termination of employment by the Company Group, or provided upon the continued employment or service with the Company Group, on or following the consummation of the Closing), (iii) Transfer Taxes for which Seller is responsible pursuant to </w:t>
      </w:r>
      <w:r>
        <w:rPr>
          <w:rFonts w:ascii="Times New Roman" w:hAnsi="Times New Roman"/>
          <w:sz w:val="20"/>
          <w:u w:val="single"/>
        </w:rPr>
        <w:t>Section 6.05(c)</w:t>
      </w:r>
      <w:r>
        <w:rPr>
          <w:rFonts w:ascii="Times New Roman" w:hAnsi="Times New Roman"/>
          <w:sz w:val="20"/>
        </w:rPr>
        <w:t xml:space="preserve">, (iv) all of the costs of the D&amp;O Insurance, including the premiums and other expenses therefor, (v) fifty percent (50%) of all costs of the R&amp;W Insurance Policy, including, without limitation, the premiums and underwriting fees, (vi) one hundred percent (100%) of the one-time premium payable in connection with the Supplemental Environmental Insurance Policy, and (vii) any other fees and expenses for which the Company or Seller is responsible pursuant to </w:t>
      </w:r>
      <w:r>
        <w:rPr>
          <w:rFonts w:ascii="Times New Roman" w:hAnsi="Times New Roman"/>
          <w:sz w:val="20"/>
          <w:u w:val="single"/>
        </w:rPr>
        <w:t>Section 6.03</w:t>
      </w:r>
      <w:r>
        <w:rPr>
          <w:rFonts w:ascii="Times New Roman" w:hAnsi="Times New Roman"/>
          <w:sz w:val="20"/>
        </w:rPr>
        <w:t xml:space="preserve">; provided that, for the avoidance of doubt, with respect to the items set forth in the foregoing subsections (iv), (v) and (vi), Seller and its Affiliates shall not have any further Liability with respect to such insurance policies after the respective payments have been made in accordance with such subsections. </w:t>
      </w:r>
    </w:p>
    <w:p>
      <w:pPr>
        <w:pStyle w:val="TextBody"/>
        <w:bidi w:val="0"/>
        <w:spacing w:before="240" w:after="0"/>
        <w:jc w:val="left"/>
        <w:rPr/>
      </w:pPr>
      <w:r>
        <w:rPr/>
        <w:t>“</w:t>
      </w:r>
      <w:r>
        <w:rPr>
          <w:rFonts w:ascii="Times New Roman" w:hAnsi="Times New Roman"/>
          <w:sz w:val="20"/>
          <w:u w:val="single"/>
        </w:rPr>
        <w:t>Transfer Agent</w:t>
      </w:r>
      <w:r>
        <w:rPr>
          <w:rFonts w:ascii="Times New Roman" w:hAnsi="Times New Roman"/>
          <w:sz w:val="20"/>
        </w:rPr>
        <w:t xml:space="preserve">” has the meaning set forth in </w:t>
      </w:r>
      <w:r>
        <w:rPr>
          <w:rFonts w:ascii="Times New Roman" w:hAnsi="Times New Roman"/>
          <w:sz w:val="20"/>
          <w:u w:val="single"/>
        </w:rPr>
        <w:t>Section 2.02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Transfer Taxes</w:t>
      </w:r>
      <w:r>
        <w:rPr>
          <w:rFonts w:ascii="Times New Roman" w:hAnsi="Times New Roman"/>
          <w:sz w:val="20"/>
        </w:rPr>
        <w:t xml:space="preserve">” has the meaning set forth in </w:t>
      </w:r>
      <w:r>
        <w:rPr>
          <w:rFonts w:ascii="Times New Roman" w:hAnsi="Times New Roman"/>
          <w:sz w:val="20"/>
          <w:u w:val="single"/>
        </w:rPr>
        <w:t>Section 6.05(c)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Transferred Shared Contract</w:t>
      </w:r>
      <w:r>
        <w:rPr>
          <w:rFonts w:ascii="Times New Roman" w:hAnsi="Times New Roman"/>
          <w:sz w:val="20"/>
        </w:rPr>
        <w:t xml:space="preserve">” has the meaning set forth in </w:t>
      </w:r>
      <w:r>
        <w:rPr>
          <w:rFonts w:ascii="Times New Roman" w:hAnsi="Times New Roman"/>
          <w:sz w:val="20"/>
          <w:u w:val="single"/>
        </w:rPr>
        <w:t>Section 6.13(a)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Treasury Regulations</w:t>
      </w:r>
      <w:r>
        <w:rPr>
          <w:rFonts w:ascii="Times New Roman" w:hAnsi="Times New Roman"/>
          <w:sz w:val="20"/>
        </w:rPr>
        <w:t xml:space="preserve">” means the regulations promulgated by the U.S. Department of the Treasury under the Code, as amended. </w:t>
      </w:r>
    </w:p>
    <w:p>
      <w:pPr>
        <w:pStyle w:val="TextBody"/>
        <w:bidi w:val="0"/>
        <w:spacing w:before="240" w:after="0"/>
        <w:jc w:val="left"/>
        <w:rPr/>
      </w:pPr>
      <w:r>
        <w:rPr/>
        <w:t>“</w:t>
      </w:r>
      <w:r>
        <w:rPr>
          <w:rFonts w:ascii="Times New Roman" w:hAnsi="Times New Roman"/>
          <w:sz w:val="20"/>
          <w:u w:val="single"/>
        </w:rPr>
        <w:t>Virtual Data Room</w:t>
      </w:r>
      <w:r>
        <w:rPr>
          <w:rFonts w:ascii="Times New Roman" w:hAnsi="Times New Roman"/>
          <w:sz w:val="20"/>
        </w:rPr>
        <w:t xml:space="preserve">” has the meaning set forth in </w:t>
      </w:r>
      <w:r>
        <w:rPr>
          <w:rFonts w:ascii="Times New Roman" w:hAnsi="Times New Roman"/>
          <w:sz w:val="20"/>
          <w:u w:val="single"/>
        </w:rPr>
        <w:t>Section 9.05(b)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WARN Act</w:t>
      </w:r>
      <w:r>
        <w:rPr>
          <w:rFonts w:ascii="Times New Roman" w:hAnsi="Times New Roman"/>
          <w:sz w:val="20"/>
        </w:rPr>
        <w:t xml:space="preserve">” has the meaning set forth in </w:t>
      </w:r>
      <w:r>
        <w:rPr>
          <w:rFonts w:ascii="Times New Roman" w:hAnsi="Times New Roman"/>
          <w:sz w:val="20"/>
          <w:u w:val="single"/>
        </w:rPr>
        <w:t>Section 4.10(e)</w:t>
      </w:r>
      <w:r>
        <w:rPr>
          <w:rFonts w:ascii="Times New Roman" w:hAnsi="Times New Roman"/>
          <w:sz w:val="20"/>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each of the Parties has caused this Agreement to be duly executed and delivered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81"/>
        <w:gridCol w:w="124"/>
        <w:gridCol w:w="3177"/>
      </w:tblGrid>
      <w:tr>
        <w:trPr/>
        <w:tc>
          <w:tcPr>
            <w:tcW w:w="781"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17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PARENT</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SMITH &amp; WESSON BRANDS, INC.</w:t>
            </w:r>
          </w:p>
        </w:tc>
      </w:tr>
      <w:tr>
        <w:trPr>
          <w:trHeight w:val="240" w:hRule="atLeast"/>
        </w:trPr>
        <w:tc>
          <w:tcPr>
            <w:tcW w:w="781" w:type="dxa"/>
            <w:tcBorders/>
            <w:vAlign w:val="center"/>
          </w:tcPr>
          <w:p>
            <w:pPr>
              <w:pStyle w:val="TableContents"/>
              <w:bidi w:val="0"/>
              <w:spacing w:before="0" w:after="283"/>
              <w:jc w:val="left"/>
              <w:rPr>
                <w:sz w:val="4"/>
                <w:szCs w:val="4"/>
              </w:rPr>
            </w:pPr>
            <w:r>
              <w:rPr>
                <w:sz w:val="4"/>
                <w:szCs w:val="4"/>
              </w:rPr>
            </w:r>
          </w:p>
        </w:tc>
        <w:tc>
          <w:tcPr>
            <w:tcW w:w="3301" w:type="dxa"/>
            <w:gridSpan w:val="2"/>
            <w:tcBorders/>
            <w:vAlign w:val="center"/>
          </w:tcPr>
          <w:p>
            <w:pPr>
              <w:pStyle w:val="TableContents"/>
              <w:bidi w:val="0"/>
              <w:spacing w:before="0" w:after="283"/>
              <w:jc w:val="left"/>
              <w:rPr>
                <w:sz w:val="4"/>
                <w:szCs w:val="4"/>
              </w:rPr>
            </w:pPr>
            <w:r>
              <w:rPr>
                <w:sz w:val="4"/>
                <w:szCs w:val="4"/>
              </w:rPr>
            </w:r>
          </w:p>
        </w:tc>
      </w:tr>
      <w:tr>
        <w:trPr/>
        <w:tc>
          <w:tcPr>
            <w:tcW w:w="781" w:type="dxa"/>
            <w:tcBorders/>
          </w:tcPr>
          <w:p>
            <w:pPr>
              <w:pStyle w:val="TableContents"/>
              <w:bidi w:val="0"/>
              <w:spacing w:before="0" w:after="283"/>
              <w:jc w:val="left"/>
              <w:rPr/>
            </w:pPr>
            <w:r>
              <w:rPr/>
              <w:t>By:</w:t>
            </w:r>
          </w:p>
        </w:tc>
        <w:tc>
          <w:tcPr>
            <w:tcW w:w="124" w:type="dxa"/>
            <w:tcBorders/>
            <w:vAlign w:val="bottom"/>
          </w:tcPr>
          <w:p>
            <w:pPr>
              <w:pStyle w:val="TableContents"/>
              <w:bidi w:val="0"/>
              <w:spacing w:before="0" w:after="283"/>
              <w:jc w:val="left"/>
              <w:rPr/>
            </w:pPr>
            <w:r>
              <w:rPr/>
              <w:t> </w:t>
            </w:r>
          </w:p>
        </w:tc>
        <w:tc>
          <w:tcPr>
            <w:tcW w:w="317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P. Smith</w:t>
            </w:r>
          </w:p>
        </w:tc>
      </w:tr>
      <w:tr>
        <w:trPr/>
        <w:tc>
          <w:tcPr>
            <w:tcW w:w="4082" w:type="dxa"/>
            <w:gridSpan w:val="3"/>
            <w:tcBorders/>
          </w:tcPr>
          <w:p>
            <w:pPr>
              <w:pStyle w:val="TableContents"/>
              <w:bidi w:val="0"/>
              <w:spacing w:before="0" w:after="283"/>
              <w:jc w:val="left"/>
              <w:rPr/>
            </w:pPr>
            <w:r>
              <w:rPr/>
              <w:t>Name: Mark P. Smith</w:t>
            </w:r>
          </w:p>
        </w:tc>
      </w:tr>
      <w:tr>
        <w:trPr/>
        <w:tc>
          <w:tcPr>
            <w:tcW w:w="4082" w:type="dxa"/>
            <w:gridSpan w:val="3"/>
            <w:tcBorders/>
          </w:tcPr>
          <w:p>
            <w:pPr>
              <w:pStyle w:val="TableContents"/>
              <w:bidi w:val="0"/>
              <w:spacing w:before="0" w:after="283"/>
              <w:jc w:val="left"/>
              <w:rPr/>
            </w:pPr>
            <w:r>
              <w:rPr/>
              <w:t>Title: President and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MERGER SUB</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TRISTAR MERGER SUB, LLC</w:t>
            </w:r>
          </w:p>
        </w:tc>
      </w:tr>
      <w:tr>
        <w:trPr>
          <w:trHeight w:val="240" w:hRule="atLeast"/>
        </w:trPr>
        <w:tc>
          <w:tcPr>
            <w:tcW w:w="781" w:type="dxa"/>
            <w:tcBorders/>
            <w:vAlign w:val="center"/>
          </w:tcPr>
          <w:p>
            <w:pPr>
              <w:pStyle w:val="TableContents"/>
              <w:bidi w:val="0"/>
              <w:spacing w:before="0" w:after="283"/>
              <w:jc w:val="left"/>
              <w:rPr>
                <w:sz w:val="4"/>
                <w:szCs w:val="4"/>
              </w:rPr>
            </w:pPr>
            <w:r>
              <w:rPr>
                <w:sz w:val="4"/>
                <w:szCs w:val="4"/>
              </w:rPr>
            </w:r>
          </w:p>
        </w:tc>
        <w:tc>
          <w:tcPr>
            <w:tcW w:w="3301" w:type="dxa"/>
            <w:gridSpan w:val="2"/>
            <w:tcBorders/>
            <w:vAlign w:val="center"/>
          </w:tcPr>
          <w:p>
            <w:pPr>
              <w:pStyle w:val="TableContents"/>
              <w:bidi w:val="0"/>
              <w:spacing w:before="0" w:after="283"/>
              <w:jc w:val="left"/>
              <w:rPr>
                <w:sz w:val="4"/>
                <w:szCs w:val="4"/>
              </w:rPr>
            </w:pPr>
            <w:r>
              <w:rPr>
                <w:sz w:val="4"/>
                <w:szCs w:val="4"/>
              </w:rPr>
            </w:r>
          </w:p>
        </w:tc>
      </w:tr>
      <w:tr>
        <w:trPr/>
        <w:tc>
          <w:tcPr>
            <w:tcW w:w="781" w:type="dxa"/>
            <w:tcBorders/>
          </w:tcPr>
          <w:p>
            <w:pPr>
              <w:pStyle w:val="TableContents"/>
              <w:bidi w:val="0"/>
              <w:spacing w:before="0" w:after="283"/>
              <w:jc w:val="left"/>
              <w:rPr/>
            </w:pPr>
            <w:r>
              <w:rPr/>
              <w:t>By:</w:t>
            </w:r>
          </w:p>
        </w:tc>
        <w:tc>
          <w:tcPr>
            <w:tcW w:w="124" w:type="dxa"/>
            <w:tcBorders/>
            <w:vAlign w:val="bottom"/>
          </w:tcPr>
          <w:p>
            <w:pPr>
              <w:pStyle w:val="TableContents"/>
              <w:bidi w:val="0"/>
              <w:spacing w:before="0" w:after="283"/>
              <w:jc w:val="left"/>
              <w:rPr/>
            </w:pPr>
            <w:r>
              <w:rPr/>
              <w:t> </w:t>
            </w:r>
          </w:p>
        </w:tc>
        <w:tc>
          <w:tcPr>
            <w:tcW w:w="317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P. Smith</w:t>
            </w:r>
          </w:p>
        </w:tc>
      </w:tr>
      <w:tr>
        <w:trPr/>
        <w:tc>
          <w:tcPr>
            <w:tcW w:w="4082" w:type="dxa"/>
            <w:gridSpan w:val="3"/>
            <w:tcBorders/>
          </w:tcPr>
          <w:p>
            <w:pPr>
              <w:pStyle w:val="TableContents"/>
              <w:bidi w:val="0"/>
              <w:spacing w:before="0" w:after="283"/>
              <w:jc w:val="left"/>
              <w:rPr/>
            </w:pPr>
            <w:r>
              <w:rPr/>
              <w:t>Name: Mark P. Smith</w:t>
            </w:r>
          </w:p>
        </w:tc>
      </w:tr>
      <w:tr>
        <w:trPr/>
        <w:tc>
          <w:tcPr>
            <w:tcW w:w="4082" w:type="dxa"/>
            <w:gridSpan w:val="3"/>
            <w:tcBorders/>
          </w:tcPr>
          <w:p>
            <w:pPr>
              <w:pStyle w:val="TableContents"/>
              <w:bidi w:val="0"/>
              <w:spacing w:before="0" w:after="283"/>
              <w:jc w:val="left"/>
              <w:rPr/>
            </w:pPr>
            <w:r>
              <w:rPr/>
              <w:t>Title: President</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Agreement and Plan of Merger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each of the Parties has caused this Agreement to be duly executed and delivered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SELLER</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SAVARMS, L.P.</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 </w:t>
            </w:r>
            <w:r>
              <w:rPr/>
              <w:t>JDH Capital Company, its general partner</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Fertitta</w:t>
            </w:r>
          </w:p>
        </w:tc>
      </w:tr>
      <w:tr>
        <w:trPr/>
        <w:tc>
          <w:tcPr>
            <w:tcW w:w="4082" w:type="dxa"/>
            <w:gridSpan w:val="3"/>
            <w:tcBorders/>
          </w:tcPr>
          <w:p>
            <w:pPr>
              <w:pStyle w:val="TableContents"/>
              <w:bidi w:val="0"/>
              <w:spacing w:before="0" w:after="283"/>
              <w:jc w:val="left"/>
              <w:rPr/>
            </w:pPr>
            <w:r>
              <w:rPr/>
              <w:t>Name: Michael Fertitta</w:t>
            </w:r>
          </w:p>
        </w:tc>
      </w:tr>
      <w:tr>
        <w:trPr/>
        <w:tc>
          <w:tcPr>
            <w:tcW w:w="4082" w:type="dxa"/>
            <w:gridSpan w:val="3"/>
            <w:tcBorders/>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COMPANY</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LONG RANGE INTERMEDIATE LLC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Fertitta</w:t>
            </w:r>
          </w:p>
        </w:tc>
      </w:tr>
      <w:tr>
        <w:trPr/>
        <w:tc>
          <w:tcPr>
            <w:tcW w:w="4082" w:type="dxa"/>
            <w:gridSpan w:val="3"/>
            <w:tcBorders/>
          </w:tcPr>
          <w:p>
            <w:pPr>
              <w:pStyle w:val="TableContents"/>
              <w:bidi w:val="0"/>
              <w:spacing w:before="0" w:after="283"/>
              <w:jc w:val="left"/>
              <w:rPr/>
            </w:pPr>
            <w:r>
              <w:rPr/>
              <w:t>Name: Michael Fertitta</w:t>
            </w:r>
          </w:p>
        </w:tc>
      </w:tr>
      <w:tr>
        <w:trPr/>
        <w:tc>
          <w:tcPr>
            <w:tcW w:w="4082" w:type="dxa"/>
            <w:gridSpan w:val="3"/>
            <w:tcBorders/>
          </w:tcPr>
          <w:p>
            <w:pPr>
              <w:pStyle w:val="TableContents"/>
              <w:bidi w:val="0"/>
              <w:spacing w:before="0" w:after="283"/>
              <w:jc w:val="left"/>
              <w:rPr/>
            </w:pPr>
            <w:r>
              <w:rPr/>
              <w:t>Title: Vice President and Treasurer</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Agreement and Plan of Merger </w:t>
      </w:r>
    </w:p>
    <w:p>
      <w:pPr>
        <w:pStyle w:val="TextBody"/>
        <w:bidi w:val="0"/>
        <w:spacing w:before="0" w:after="0"/>
        <w:jc w:val="right"/>
        <w:rPr>
          <w:rFonts w:ascii="Times New Roman" w:hAnsi="Times New Roman"/>
          <w:b/>
          <w:sz w:val="20"/>
        </w:rPr>
      </w:pPr>
      <w:bookmarkStart w:id="4" w:name="d166089dex101.htm"/>
      <w:bookmarkStart w:id="5" w:name="ksd166089dex101"/>
      <w:bookmarkEnd w:id="4"/>
      <w:bookmarkEnd w:id="5"/>
      <w:r>
        <w:rPr>
          <w:rFonts w:ascii="Times New Roman" w:hAnsi="Times New Roman"/>
          <w:b/>
          <w:sz w:val="20"/>
        </w:rPr>
        <w:t xml:space="preserve">Exhibit 10.1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INVESTOR RIGHTS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October 21, 2026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6"/>
        <w:gridCol w:w="95"/>
        <w:gridCol w:w="8837"/>
        <w:gridCol w:w="149"/>
        <w:gridCol w:w="96"/>
        <w:gridCol w:w="419"/>
        <w:gridCol w:w="63"/>
      </w:tblGrid>
      <w:tr>
        <w:trPr/>
        <w:tc>
          <w:tcPr>
            <w:tcW w:w="546"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8837"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6"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883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240" w:hRule="atLeast"/>
        </w:trPr>
        <w:tc>
          <w:tcPr>
            <w:tcW w:w="9478" w:type="dxa"/>
            <w:gridSpan w:val="3"/>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947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GOVERNANCE MATTERS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240" w:hRule="atLeast"/>
        </w:trPr>
        <w:tc>
          <w:tcPr>
            <w:tcW w:w="546" w:type="dxa"/>
            <w:tcBorders/>
            <w:vAlign w:val="center"/>
          </w:tcPr>
          <w:p>
            <w:pPr>
              <w:pStyle w:val="TableContents"/>
              <w:bidi w:val="0"/>
              <w:spacing w:before="0" w:after="283"/>
              <w:jc w:val="left"/>
              <w:rPr>
                <w:sz w:val="4"/>
                <w:szCs w:val="4"/>
              </w:rPr>
            </w:pPr>
            <w:r>
              <w:rPr>
                <w:sz w:val="4"/>
                <w:szCs w:val="4"/>
              </w:rPr>
            </w:r>
          </w:p>
        </w:tc>
        <w:tc>
          <w:tcPr>
            <w:tcW w:w="8932"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546" w:type="dxa"/>
            <w:tcBorders/>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95" w:type="dxa"/>
            <w:tcBorders/>
            <w:vAlign w:val="bottom"/>
          </w:tcPr>
          <w:p>
            <w:pPr>
              <w:pStyle w:val="TableContents"/>
              <w:bidi w:val="0"/>
              <w:spacing w:before="0" w:after="283"/>
              <w:jc w:val="left"/>
              <w:rPr/>
            </w:pPr>
            <w:r>
              <w:rPr/>
              <w:t> </w:t>
            </w:r>
          </w:p>
        </w:tc>
        <w:tc>
          <w:tcPr>
            <w:tcW w:w="8837" w:type="dxa"/>
            <w:tcBorders/>
            <w:vAlign w:val="bottom"/>
          </w:tcPr>
          <w:p>
            <w:pPr>
              <w:pStyle w:val="TableContents"/>
              <w:bidi w:val="0"/>
              <w:spacing w:before="0" w:after="283"/>
              <w:jc w:val="left"/>
              <w:rPr/>
            </w:pPr>
            <w:r>
              <w:rPr/>
              <w:t>Composition of the Parent Board at the Closing</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546" w:type="dxa"/>
            <w:tcBorders/>
          </w:tcPr>
          <w:p>
            <w:pPr>
              <w:pStyle w:val="TableContents"/>
              <w:bidi w:val="0"/>
              <w:spacing w:before="0" w:after="0"/>
              <w:jc w:val="left"/>
              <w:rPr>
                <w:rFonts w:ascii="Times New Roman" w:hAnsi="Times New Roman"/>
                <w:sz w:val="20"/>
              </w:rPr>
            </w:pPr>
            <w:r>
              <w:rPr>
                <w:rFonts w:ascii="Times New Roman" w:hAnsi="Times New Roman"/>
                <w:sz w:val="20"/>
              </w:rPr>
              <w:t>1.2</w:t>
            </w:r>
          </w:p>
        </w:tc>
        <w:tc>
          <w:tcPr>
            <w:tcW w:w="95" w:type="dxa"/>
            <w:tcBorders/>
            <w:vAlign w:val="bottom"/>
          </w:tcPr>
          <w:p>
            <w:pPr>
              <w:pStyle w:val="TableContents"/>
              <w:bidi w:val="0"/>
              <w:spacing w:before="0" w:after="283"/>
              <w:jc w:val="left"/>
              <w:rPr/>
            </w:pPr>
            <w:r>
              <w:rPr/>
              <w:t> </w:t>
            </w:r>
          </w:p>
        </w:tc>
        <w:tc>
          <w:tcPr>
            <w:tcW w:w="8837" w:type="dxa"/>
            <w:tcBorders/>
            <w:vAlign w:val="bottom"/>
          </w:tcPr>
          <w:p>
            <w:pPr>
              <w:pStyle w:val="TableContents"/>
              <w:bidi w:val="0"/>
              <w:spacing w:before="0" w:after="283"/>
              <w:jc w:val="left"/>
              <w:rPr/>
            </w:pPr>
            <w:r>
              <w:rPr/>
              <w:t>Composition of the Parent Board Following the Closing</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546" w:type="dxa"/>
            <w:tcBorders/>
          </w:tcPr>
          <w:p>
            <w:pPr>
              <w:pStyle w:val="TableContents"/>
              <w:bidi w:val="0"/>
              <w:spacing w:before="0" w:after="0"/>
              <w:jc w:val="left"/>
              <w:rPr>
                <w:rFonts w:ascii="Times New Roman" w:hAnsi="Times New Roman"/>
                <w:sz w:val="20"/>
              </w:rPr>
            </w:pPr>
            <w:r>
              <w:rPr>
                <w:rFonts w:ascii="Times New Roman" w:hAnsi="Times New Roman"/>
                <w:sz w:val="20"/>
              </w:rPr>
              <w:t>1.3</w:t>
            </w:r>
          </w:p>
        </w:tc>
        <w:tc>
          <w:tcPr>
            <w:tcW w:w="95" w:type="dxa"/>
            <w:tcBorders/>
            <w:vAlign w:val="bottom"/>
          </w:tcPr>
          <w:p>
            <w:pPr>
              <w:pStyle w:val="TableContents"/>
              <w:bidi w:val="0"/>
              <w:spacing w:before="0" w:after="283"/>
              <w:jc w:val="left"/>
              <w:rPr/>
            </w:pPr>
            <w:r>
              <w:rPr/>
              <w:t> </w:t>
            </w:r>
          </w:p>
        </w:tc>
        <w:tc>
          <w:tcPr>
            <w:tcW w:w="8837" w:type="dxa"/>
            <w:tcBorders/>
            <w:vAlign w:val="bottom"/>
          </w:tcPr>
          <w:p>
            <w:pPr>
              <w:pStyle w:val="TableContents"/>
              <w:bidi w:val="0"/>
              <w:spacing w:before="0" w:after="283"/>
              <w:jc w:val="left"/>
              <w:rPr/>
            </w:pPr>
            <w:r>
              <w:rPr/>
              <w:t>Eligibility Criteria; Resignation</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546" w:type="dxa"/>
            <w:tcBorders/>
          </w:tcPr>
          <w:p>
            <w:pPr>
              <w:pStyle w:val="TableContents"/>
              <w:bidi w:val="0"/>
              <w:spacing w:before="0" w:after="0"/>
              <w:jc w:val="left"/>
              <w:rPr>
                <w:rFonts w:ascii="Times New Roman" w:hAnsi="Times New Roman"/>
                <w:sz w:val="20"/>
              </w:rPr>
            </w:pPr>
            <w:r>
              <w:rPr>
                <w:rFonts w:ascii="Times New Roman" w:hAnsi="Times New Roman"/>
                <w:sz w:val="20"/>
              </w:rPr>
              <w:t>1.4</w:t>
            </w:r>
          </w:p>
        </w:tc>
        <w:tc>
          <w:tcPr>
            <w:tcW w:w="95" w:type="dxa"/>
            <w:tcBorders/>
            <w:vAlign w:val="bottom"/>
          </w:tcPr>
          <w:p>
            <w:pPr>
              <w:pStyle w:val="TableContents"/>
              <w:bidi w:val="0"/>
              <w:spacing w:before="0" w:after="283"/>
              <w:jc w:val="left"/>
              <w:rPr/>
            </w:pPr>
            <w:r>
              <w:rPr/>
              <w:t> </w:t>
            </w:r>
          </w:p>
        </w:tc>
        <w:tc>
          <w:tcPr>
            <w:tcW w:w="8837" w:type="dxa"/>
            <w:tcBorders/>
            <w:vAlign w:val="bottom"/>
          </w:tcPr>
          <w:p>
            <w:pPr>
              <w:pStyle w:val="TableContents"/>
              <w:bidi w:val="0"/>
              <w:spacing w:before="0" w:after="283"/>
              <w:jc w:val="left"/>
              <w:rPr/>
            </w:pPr>
            <w:r>
              <w:rPr/>
              <w:t>Confidentiality</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546" w:type="dxa"/>
            <w:tcBorders/>
          </w:tcPr>
          <w:p>
            <w:pPr>
              <w:pStyle w:val="TableContents"/>
              <w:bidi w:val="0"/>
              <w:spacing w:before="0" w:after="0"/>
              <w:jc w:val="left"/>
              <w:rPr>
                <w:rFonts w:ascii="Times New Roman" w:hAnsi="Times New Roman"/>
                <w:sz w:val="20"/>
              </w:rPr>
            </w:pPr>
            <w:r>
              <w:rPr>
                <w:rFonts w:ascii="Times New Roman" w:hAnsi="Times New Roman"/>
                <w:sz w:val="20"/>
              </w:rPr>
              <w:t>1.5</w:t>
            </w:r>
          </w:p>
        </w:tc>
        <w:tc>
          <w:tcPr>
            <w:tcW w:w="95" w:type="dxa"/>
            <w:tcBorders/>
            <w:vAlign w:val="bottom"/>
          </w:tcPr>
          <w:p>
            <w:pPr>
              <w:pStyle w:val="TableContents"/>
              <w:bidi w:val="0"/>
              <w:spacing w:before="0" w:after="283"/>
              <w:jc w:val="left"/>
              <w:rPr/>
            </w:pPr>
            <w:r>
              <w:rPr/>
              <w:t> </w:t>
            </w:r>
          </w:p>
        </w:tc>
        <w:tc>
          <w:tcPr>
            <w:tcW w:w="8837" w:type="dxa"/>
            <w:tcBorders/>
            <w:vAlign w:val="bottom"/>
          </w:tcPr>
          <w:p>
            <w:pPr>
              <w:pStyle w:val="TableContents"/>
              <w:bidi w:val="0"/>
              <w:spacing w:before="0" w:after="283"/>
              <w:jc w:val="left"/>
              <w:rPr/>
            </w:pPr>
            <w:r>
              <w:rPr/>
              <w:t>Voting Agreements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240" w:hRule="atLeast"/>
        </w:trPr>
        <w:tc>
          <w:tcPr>
            <w:tcW w:w="9478" w:type="dxa"/>
            <w:gridSpan w:val="3"/>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947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TRANSFERS; STANDSTILL</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rHeight w:val="240" w:hRule="atLeast"/>
        </w:trPr>
        <w:tc>
          <w:tcPr>
            <w:tcW w:w="546" w:type="dxa"/>
            <w:tcBorders/>
            <w:vAlign w:val="center"/>
          </w:tcPr>
          <w:p>
            <w:pPr>
              <w:pStyle w:val="TableContents"/>
              <w:bidi w:val="0"/>
              <w:spacing w:before="0" w:after="283"/>
              <w:jc w:val="left"/>
              <w:rPr>
                <w:sz w:val="4"/>
                <w:szCs w:val="4"/>
              </w:rPr>
            </w:pPr>
            <w:r>
              <w:rPr>
                <w:sz w:val="4"/>
                <w:szCs w:val="4"/>
              </w:rPr>
            </w:r>
          </w:p>
        </w:tc>
        <w:tc>
          <w:tcPr>
            <w:tcW w:w="8932"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546" w:type="dxa"/>
            <w:tcBorders/>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95" w:type="dxa"/>
            <w:tcBorders/>
            <w:vAlign w:val="bottom"/>
          </w:tcPr>
          <w:p>
            <w:pPr>
              <w:pStyle w:val="TableContents"/>
              <w:bidi w:val="0"/>
              <w:spacing w:before="0" w:after="283"/>
              <w:jc w:val="left"/>
              <w:rPr/>
            </w:pPr>
            <w:r>
              <w:rPr/>
              <w:t> </w:t>
            </w:r>
          </w:p>
        </w:tc>
        <w:tc>
          <w:tcPr>
            <w:tcW w:w="8837" w:type="dxa"/>
            <w:tcBorders/>
            <w:vAlign w:val="bottom"/>
          </w:tcPr>
          <w:p>
            <w:pPr>
              <w:pStyle w:val="TableContents"/>
              <w:bidi w:val="0"/>
              <w:spacing w:before="0" w:after="283"/>
              <w:jc w:val="left"/>
              <w:rPr/>
            </w:pPr>
            <w:r>
              <w:rPr/>
              <w:t>Transfer Restrictions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546" w:type="dxa"/>
            <w:tcBorders/>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95" w:type="dxa"/>
            <w:tcBorders/>
            <w:vAlign w:val="bottom"/>
          </w:tcPr>
          <w:p>
            <w:pPr>
              <w:pStyle w:val="TableContents"/>
              <w:bidi w:val="0"/>
              <w:spacing w:before="0" w:after="283"/>
              <w:jc w:val="left"/>
              <w:rPr/>
            </w:pPr>
            <w:r>
              <w:rPr/>
              <w:t> </w:t>
            </w:r>
          </w:p>
        </w:tc>
        <w:tc>
          <w:tcPr>
            <w:tcW w:w="8837" w:type="dxa"/>
            <w:tcBorders/>
            <w:vAlign w:val="bottom"/>
          </w:tcPr>
          <w:p>
            <w:pPr>
              <w:pStyle w:val="TableContents"/>
              <w:bidi w:val="0"/>
              <w:spacing w:before="0" w:after="283"/>
              <w:jc w:val="left"/>
              <w:rPr/>
            </w:pPr>
            <w:r>
              <w:rPr/>
              <w:t>Standstill Provisions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546" w:type="dxa"/>
            <w:tcBorders/>
          </w:tcPr>
          <w:p>
            <w:pPr>
              <w:pStyle w:val="TableContents"/>
              <w:bidi w:val="0"/>
              <w:spacing w:before="0" w:after="0"/>
              <w:jc w:val="left"/>
              <w:rPr>
                <w:rFonts w:ascii="Times New Roman" w:hAnsi="Times New Roman"/>
                <w:sz w:val="20"/>
              </w:rPr>
            </w:pPr>
            <w:r>
              <w:rPr>
                <w:rFonts w:ascii="Times New Roman" w:hAnsi="Times New Roman"/>
                <w:sz w:val="20"/>
              </w:rPr>
              <w:t>2.3</w:t>
            </w:r>
          </w:p>
        </w:tc>
        <w:tc>
          <w:tcPr>
            <w:tcW w:w="95" w:type="dxa"/>
            <w:tcBorders/>
            <w:vAlign w:val="bottom"/>
          </w:tcPr>
          <w:p>
            <w:pPr>
              <w:pStyle w:val="TableContents"/>
              <w:bidi w:val="0"/>
              <w:spacing w:before="0" w:after="283"/>
              <w:jc w:val="left"/>
              <w:rPr/>
            </w:pPr>
            <w:r>
              <w:rPr/>
              <w:t> </w:t>
            </w:r>
          </w:p>
        </w:tc>
        <w:tc>
          <w:tcPr>
            <w:tcW w:w="8837" w:type="dxa"/>
            <w:tcBorders/>
            <w:vAlign w:val="bottom"/>
          </w:tcPr>
          <w:p>
            <w:pPr>
              <w:pStyle w:val="TableContents"/>
              <w:bidi w:val="0"/>
              <w:spacing w:before="0" w:after="283"/>
              <w:jc w:val="left"/>
              <w:rPr/>
            </w:pPr>
            <w:r>
              <w:rPr/>
              <w:t>Section 16 Matters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240" w:hRule="atLeast"/>
        </w:trPr>
        <w:tc>
          <w:tcPr>
            <w:tcW w:w="9478" w:type="dxa"/>
            <w:gridSpan w:val="3"/>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947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REPRESENTATIONS AND WARRANTIES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240" w:hRule="atLeast"/>
        </w:trPr>
        <w:tc>
          <w:tcPr>
            <w:tcW w:w="546" w:type="dxa"/>
            <w:tcBorders/>
            <w:vAlign w:val="center"/>
          </w:tcPr>
          <w:p>
            <w:pPr>
              <w:pStyle w:val="TableContents"/>
              <w:bidi w:val="0"/>
              <w:spacing w:before="0" w:after="283"/>
              <w:jc w:val="left"/>
              <w:rPr>
                <w:sz w:val="4"/>
                <w:szCs w:val="4"/>
              </w:rPr>
            </w:pPr>
            <w:r>
              <w:rPr>
                <w:sz w:val="4"/>
                <w:szCs w:val="4"/>
              </w:rPr>
            </w:r>
          </w:p>
        </w:tc>
        <w:tc>
          <w:tcPr>
            <w:tcW w:w="8932"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546" w:type="dxa"/>
            <w:tcBorders/>
          </w:tcPr>
          <w:p>
            <w:pPr>
              <w:pStyle w:val="TableContents"/>
              <w:bidi w:val="0"/>
              <w:spacing w:before="0" w:after="0"/>
              <w:jc w:val="left"/>
              <w:rPr>
                <w:rFonts w:ascii="Times New Roman" w:hAnsi="Times New Roman"/>
                <w:sz w:val="20"/>
              </w:rPr>
            </w:pPr>
            <w:r>
              <w:rPr>
                <w:rFonts w:ascii="Times New Roman" w:hAnsi="Times New Roman"/>
                <w:sz w:val="20"/>
              </w:rPr>
              <w:t>3.1</w:t>
            </w:r>
          </w:p>
        </w:tc>
        <w:tc>
          <w:tcPr>
            <w:tcW w:w="95" w:type="dxa"/>
            <w:tcBorders/>
            <w:vAlign w:val="bottom"/>
          </w:tcPr>
          <w:p>
            <w:pPr>
              <w:pStyle w:val="TableContents"/>
              <w:bidi w:val="0"/>
              <w:spacing w:before="0" w:after="283"/>
              <w:jc w:val="left"/>
              <w:rPr/>
            </w:pPr>
            <w:r>
              <w:rPr/>
              <w:t> </w:t>
            </w:r>
          </w:p>
        </w:tc>
        <w:tc>
          <w:tcPr>
            <w:tcW w:w="8837" w:type="dxa"/>
            <w:tcBorders/>
            <w:vAlign w:val="bottom"/>
          </w:tcPr>
          <w:p>
            <w:pPr>
              <w:pStyle w:val="TableContents"/>
              <w:bidi w:val="0"/>
              <w:spacing w:before="0" w:after="283"/>
              <w:jc w:val="left"/>
              <w:rPr/>
            </w:pPr>
            <w:r>
              <w:rPr/>
              <w:t>Representations and Warranties of the Investor</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546" w:type="dxa"/>
            <w:tcBorders/>
          </w:tcPr>
          <w:p>
            <w:pPr>
              <w:pStyle w:val="TableContents"/>
              <w:bidi w:val="0"/>
              <w:spacing w:before="0" w:after="0"/>
              <w:jc w:val="left"/>
              <w:rPr>
                <w:rFonts w:ascii="Times New Roman" w:hAnsi="Times New Roman"/>
                <w:sz w:val="20"/>
              </w:rPr>
            </w:pPr>
            <w:r>
              <w:rPr>
                <w:rFonts w:ascii="Times New Roman" w:hAnsi="Times New Roman"/>
                <w:sz w:val="20"/>
              </w:rPr>
              <w:t>3.2</w:t>
            </w:r>
          </w:p>
        </w:tc>
        <w:tc>
          <w:tcPr>
            <w:tcW w:w="95" w:type="dxa"/>
            <w:tcBorders/>
            <w:vAlign w:val="bottom"/>
          </w:tcPr>
          <w:p>
            <w:pPr>
              <w:pStyle w:val="TableContents"/>
              <w:bidi w:val="0"/>
              <w:spacing w:before="0" w:after="283"/>
              <w:jc w:val="left"/>
              <w:rPr/>
            </w:pPr>
            <w:r>
              <w:rPr/>
              <w:t> </w:t>
            </w:r>
          </w:p>
        </w:tc>
        <w:tc>
          <w:tcPr>
            <w:tcW w:w="8837" w:type="dxa"/>
            <w:tcBorders/>
            <w:vAlign w:val="bottom"/>
          </w:tcPr>
          <w:p>
            <w:pPr>
              <w:pStyle w:val="TableContents"/>
              <w:bidi w:val="0"/>
              <w:spacing w:before="0" w:after="283"/>
              <w:jc w:val="left"/>
              <w:rPr/>
            </w:pPr>
            <w:r>
              <w:rPr/>
              <w:t>Representations and Warranties of Parent</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240" w:hRule="atLeast"/>
        </w:trPr>
        <w:tc>
          <w:tcPr>
            <w:tcW w:w="9478" w:type="dxa"/>
            <w:gridSpan w:val="3"/>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947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REGISTRATION</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240" w:hRule="atLeast"/>
        </w:trPr>
        <w:tc>
          <w:tcPr>
            <w:tcW w:w="546" w:type="dxa"/>
            <w:tcBorders/>
            <w:vAlign w:val="center"/>
          </w:tcPr>
          <w:p>
            <w:pPr>
              <w:pStyle w:val="TableContents"/>
              <w:bidi w:val="0"/>
              <w:spacing w:before="0" w:after="283"/>
              <w:jc w:val="left"/>
              <w:rPr>
                <w:sz w:val="4"/>
                <w:szCs w:val="4"/>
              </w:rPr>
            </w:pPr>
            <w:r>
              <w:rPr>
                <w:sz w:val="4"/>
                <w:szCs w:val="4"/>
              </w:rPr>
            </w:r>
          </w:p>
        </w:tc>
        <w:tc>
          <w:tcPr>
            <w:tcW w:w="8932"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546" w:type="dxa"/>
            <w:tcBorders/>
          </w:tcPr>
          <w:p>
            <w:pPr>
              <w:pStyle w:val="TableContents"/>
              <w:bidi w:val="0"/>
              <w:spacing w:before="0" w:after="0"/>
              <w:jc w:val="left"/>
              <w:rPr>
                <w:rFonts w:ascii="Times New Roman" w:hAnsi="Times New Roman"/>
                <w:sz w:val="20"/>
              </w:rPr>
            </w:pPr>
            <w:r>
              <w:rPr>
                <w:rFonts w:ascii="Times New Roman" w:hAnsi="Times New Roman"/>
                <w:sz w:val="20"/>
              </w:rPr>
              <w:t>4.1</w:t>
            </w:r>
          </w:p>
        </w:tc>
        <w:tc>
          <w:tcPr>
            <w:tcW w:w="95" w:type="dxa"/>
            <w:tcBorders/>
            <w:vAlign w:val="bottom"/>
          </w:tcPr>
          <w:p>
            <w:pPr>
              <w:pStyle w:val="TableContents"/>
              <w:bidi w:val="0"/>
              <w:spacing w:before="0" w:after="283"/>
              <w:jc w:val="left"/>
              <w:rPr/>
            </w:pPr>
            <w:r>
              <w:rPr/>
              <w:t> </w:t>
            </w:r>
          </w:p>
        </w:tc>
        <w:tc>
          <w:tcPr>
            <w:tcW w:w="8837" w:type="dxa"/>
            <w:tcBorders/>
            <w:vAlign w:val="bottom"/>
          </w:tcPr>
          <w:p>
            <w:pPr>
              <w:pStyle w:val="TableContents"/>
              <w:bidi w:val="0"/>
              <w:spacing w:before="0" w:after="283"/>
              <w:jc w:val="left"/>
              <w:rPr/>
            </w:pPr>
            <w:r>
              <w:rPr/>
              <w:t>Demand Registrations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546" w:type="dxa"/>
            <w:tcBorders/>
          </w:tcPr>
          <w:p>
            <w:pPr>
              <w:pStyle w:val="TableContents"/>
              <w:bidi w:val="0"/>
              <w:spacing w:before="0" w:after="0"/>
              <w:jc w:val="left"/>
              <w:rPr>
                <w:rFonts w:ascii="Times New Roman" w:hAnsi="Times New Roman"/>
                <w:sz w:val="20"/>
              </w:rPr>
            </w:pPr>
            <w:r>
              <w:rPr>
                <w:rFonts w:ascii="Times New Roman" w:hAnsi="Times New Roman"/>
                <w:sz w:val="20"/>
              </w:rPr>
              <w:t>4.2</w:t>
            </w:r>
          </w:p>
        </w:tc>
        <w:tc>
          <w:tcPr>
            <w:tcW w:w="95" w:type="dxa"/>
            <w:tcBorders/>
            <w:vAlign w:val="bottom"/>
          </w:tcPr>
          <w:p>
            <w:pPr>
              <w:pStyle w:val="TableContents"/>
              <w:bidi w:val="0"/>
              <w:spacing w:before="0" w:after="283"/>
              <w:jc w:val="left"/>
              <w:rPr/>
            </w:pPr>
            <w:r>
              <w:rPr/>
              <w:t> </w:t>
            </w:r>
          </w:p>
        </w:tc>
        <w:tc>
          <w:tcPr>
            <w:tcW w:w="8837" w:type="dxa"/>
            <w:tcBorders/>
            <w:vAlign w:val="bottom"/>
          </w:tcPr>
          <w:p>
            <w:pPr>
              <w:pStyle w:val="TableContents"/>
              <w:bidi w:val="0"/>
              <w:spacing w:before="0" w:after="283"/>
              <w:jc w:val="left"/>
              <w:rPr/>
            </w:pPr>
            <w:r>
              <w:rPr/>
              <w:t>Piggyback Registrations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546" w:type="dxa"/>
            <w:tcBorders/>
          </w:tcPr>
          <w:p>
            <w:pPr>
              <w:pStyle w:val="TableContents"/>
              <w:bidi w:val="0"/>
              <w:spacing w:before="0" w:after="0"/>
              <w:jc w:val="left"/>
              <w:rPr>
                <w:rFonts w:ascii="Times New Roman" w:hAnsi="Times New Roman"/>
                <w:sz w:val="20"/>
              </w:rPr>
            </w:pPr>
            <w:r>
              <w:rPr>
                <w:rFonts w:ascii="Times New Roman" w:hAnsi="Times New Roman"/>
                <w:sz w:val="20"/>
              </w:rPr>
              <w:t>4.3</w:t>
            </w:r>
          </w:p>
        </w:tc>
        <w:tc>
          <w:tcPr>
            <w:tcW w:w="95" w:type="dxa"/>
            <w:tcBorders/>
            <w:vAlign w:val="bottom"/>
          </w:tcPr>
          <w:p>
            <w:pPr>
              <w:pStyle w:val="TableContents"/>
              <w:bidi w:val="0"/>
              <w:spacing w:before="0" w:after="283"/>
              <w:jc w:val="left"/>
              <w:rPr/>
            </w:pPr>
            <w:r>
              <w:rPr/>
              <w:t> </w:t>
            </w:r>
          </w:p>
        </w:tc>
        <w:tc>
          <w:tcPr>
            <w:tcW w:w="8837" w:type="dxa"/>
            <w:tcBorders/>
            <w:vAlign w:val="bottom"/>
          </w:tcPr>
          <w:p>
            <w:pPr>
              <w:pStyle w:val="TableContents"/>
              <w:bidi w:val="0"/>
              <w:spacing w:before="0" w:after="283"/>
              <w:jc w:val="left"/>
              <w:rPr/>
            </w:pPr>
            <w:r>
              <w:rPr/>
              <w:t>Shelf Registration Statement</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546" w:type="dxa"/>
            <w:tcBorders/>
          </w:tcPr>
          <w:p>
            <w:pPr>
              <w:pStyle w:val="TableContents"/>
              <w:bidi w:val="0"/>
              <w:spacing w:before="0" w:after="0"/>
              <w:jc w:val="left"/>
              <w:rPr>
                <w:rFonts w:ascii="Times New Roman" w:hAnsi="Times New Roman"/>
                <w:sz w:val="20"/>
              </w:rPr>
            </w:pPr>
            <w:r>
              <w:rPr>
                <w:rFonts w:ascii="Times New Roman" w:hAnsi="Times New Roman"/>
                <w:sz w:val="20"/>
              </w:rPr>
              <w:t>4.4</w:t>
            </w:r>
          </w:p>
        </w:tc>
        <w:tc>
          <w:tcPr>
            <w:tcW w:w="95" w:type="dxa"/>
            <w:tcBorders/>
            <w:vAlign w:val="bottom"/>
          </w:tcPr>
          <w:p>
            <w:pPr>
              <w:pStyle w:val="TableContents"/>
              <w:bidi w:val="0"/>
              <w:spacing w:before="0" w:after="283"/>
              <w:jc w:val="left"/>
              <w:rPr/>
            </w:pPr>
            <w:r>
              <w:rPr/>
              <w:t> </w:t>
            </w:r>
          </w:p>
        </w:tc>
        <w:tc>
          <w:tcPr>
            <w:tcW w:w="8837" w:type="dxa"/>
            <w:tcBorders/>
            <w:vAlign w:val="bottom"/>
          </w:tcPr>
          <w:p>
            <w:pPr>
              <w:pStyle w:val="TableContents"/>
              <w:bidi w:val="0"/>
              <w:spacing w:before="0" w:after="283"/>
              <w:jc w:val="left"/>
              <w:rPr/>
            </w:pPr>
            <w:r>
              <w:rPr/>
              <w:t>Holdback Agreements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546" w:type="dxa"/>
            <w:tcBorders/>
          </w:tcPr>
          <w:p>
            <w:pPr>
              <w:pStyle w:val="TableContents"/>
              <w:bidi w:val="0"/>
              <w:spacing w:before="0" w:after="0"/>
              <w:jc w:val="left"/>
              <w:rPr>
                <w:rFonts w:ascii="Times New Roman" w:hAnsi="Times New Roman"/>
                <w:sz w:val="20"/>
              </w:rPr>
            </w:pPr>
            <w:r>
              <w:rPr>
                <w:rFonts w:ascii="Times New Roman" w:hAnsi="Times New Roman"/>
                <w:sz w:val="20"/>
              </w:rPr>
              <w:t>4.5</w:t>
            </w:r>
          </w:p>
        </w:tc>
        <w:tc>
          <w:tcPr>
            <w:tcW w:w="95" w:type="dxa"/>
            <w:tcBorders/>
            <w:vAlign w:val="bottom"/>
          </w:tcPr>
          <w:p>
            <w:pPr>
              <w:pStyle w:val="TableContents"/>
              <w:bidi w:val="0"/>
              <w:spacing w:before="0" w:after="283"/>
              <w:jc w:val="left"/>
              <w:rPr/>
            </w:pPr>
            <w:r>
              <w:rPr/>
              <w:t> </w:t>
            </w:r>
          </w:p>
        </w:tc>
        <w:tc>
          <w:tcPr>
            <w:tcW w:w="8837" w:type="dxa"/>
            <w:tcBorders/>
            <w:vAlign w:val="bottom"/>
          </w:tcPr>
          <w:p>
            <w:pPr>
              <w:pStyle w:val="TableContents"/>
              <w:bidi w:val="0"/>
              <w:spacing w:before="0" w:after="283"/>
              <w:jc w:val="left"/>
              <w:rPr/>
            </w:pPr>
            <w:r>
              <w:rPr/>
              <w:t>Registration Procedures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546" w:type="dxa"/>
            <w:tcBorders/>
          </w:tcPr>
          <w:p>
            <w:pPr>
              <w:pStyle w:val="TableContents"/>
              <w:bidi w:val="0"/>
              <w:spacing w:before="0" w:after="0"/>
              <w:jc w:val="left"/>
              <w:rPr>
                <w:rFonts w:ascii="Times New Roman" w:hAnsi="Times New Roman"/>
                <w:sz w:val="20"/>
              </w:rPr>
            </w:pPr>
            <w:r>
              <w:rPr>
                <w:rFonts w:ascii="Times New Roman" w:hAnsi="Times New Roman"/>
                <w:sz w:val="20"/>
              </w:rPr>
              <w:t>4.6</w:t>
            </w:r>
          </w:p>
        </w:tc>
        <w:tc>
          <w:tcPr>
            <w:tcW w:w="95" w:type="dxa"/>
            <w:tcBorders/>
            <w:vAlign w:val="bottom"/>
          </w:tcPr>
          <w:p>
            <w:pPr>
              <w:pStyle w:val="TableContents"/>
              <w:bidi w:val="0"/>
              <w:spacing w:before="0" w:after="283"/>
              <w:jc w:val="left"/>
              <w:rPr/>
            </w:pPr>
            <w:r>
              <w:rPr/>
              <w:t> </w:t>
            </w:r>
          </w:p>
        </w:tc>
        <w:tc>
          <w:tcPr>
            <w:tcW w:w="8837" w:type="dxa"/>
            <w:tcBorders/>
            <w:vAlign w:val="bottom"/>
          </w:tcPr>
          <w:p>
            <w:pPr>
              <w:pStyle w:val="TableContents"/>
              <w:bidi w:val="0"/>
              <w:spacing w:before="0" w:after="283"/>
              <w:jc w:val="left"/>
              <w:rPr/>
            </w:pPr>
            <w:r>
              <w:rPr/>
              <w:t>Registration Expenses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546" w:type="dxa"/>
            <w:tcBorders/>
          </w:tcPr>
          <w:p>
            <w:pPr>
              <w:pStyle w:val="TableContents"/>
              <w:bidi w:val="0"/>
              <w:spacing w:before="0" w:after="0"/>
              <w:jc w:val="left"/>
              <w:rPr>
                <w:rFonts w:ascii="Times New Roman" w:hAnsi="Times New Roman"/>
                <w:sz w:val="20"/>
              </w:rPr>
            </w:pPr>
            <w:r>
              <w:rPr>
                <w:rFonts w:ascii="Times New Roman" w:hAnsi="Times New Roman"/>
                <w:sz w:val="20"/>
              </w:rPr>
              <w:t>4.7</w:t>
            </w:r>
          </w:p>
        </w:tc>
        <w:tc>
          <w:tcPr>
            <w:tcW w:w="95" w:type="dxa"/>
            <w:tcBorders/>
            <w:vAlign w:val="bottom"/>
          </w:tcPr>
          <w:p>
            <w:pPr>
              <w:pStyle w:val="TableContents"/>
              <w:bidi w:val="0"/>
              <w:spacing w:before="0" w:after="283"/>
              <w:jc w:val="left"/>
              <w:rPr/>
            </w:pPr>
            <w:r>
              <w:rPr/>
              <w:t> </w:t>
            </w:r>
          </w:p>
        </w:tc>
        <w:tc>
          <w:tcPr>
            <w:tcW w:w="8837" w:type="dxa"/>
            <w:tcBorders/>
            <w:vAlign w:val="bottom"/>
          </w:tcPr>
          <w:p>
            <w:pPr>
              <w:pStyle w:val="TableContents"/>
              <w:bidi w:val="0"/>
              <w:spacing w:before="0" w:after="283"/>
              <w:jc w:val="left"/>
              <w:rPr/>
            </w:pPr>
            <w:r>
              <w:rPr/>
              <w:t>Miscellaneous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546" w:type="dxa"/>
            <w:tcBorders/>
          </w:tcPr>
          <w:p>
            <w:pPr>
              <w:pStyle w:val="TableContents"/>
              <w:bidi w:val="0"/>
              <w:spacing w:before="0" w:after="0"/>
              <w:jc w:val="left"/>
              <w:rPr>
                <w:rFonts w:ascii="Times New Roman" w:hAnsi="Times New Roman"/>
                <w:sz w:val="20"/>
              </w:rPr>
            </w:pPr>
            <w:r>
              <w:rPr>
                <w:rFonts w:ascii="Times New Roman" w:hAnsi="Times New Roman"/>
                <w:sz w:val="20"/>
              </w:rPr>
              <w:t>4.8</w:t>
            </w:r>
          </w:p>
        </w:tc>
        <w:tc>
          <w:tcPr>
            <w:tcW w:w="95" w:type="dxa"/>
            <w:tcBorders/>
            <w:vAlign w:val="bottom"/>
          </w:tcPr>
          <w:p>
            <w:pPr>
              <w:pStyle w:val="TableContents"/>
              <w:bidi w:val="0"/>
              <w:spacing w:before="0" w:after="283"/>
              <w:jc w:val="left"/>
              <w:rPr/>
            </w:pPr>
            <w:r>
              <w:rPr/>
              <w:t> </w:t>
            </w:r>
          </w:p>
        </w:tc>
        <w:tc>
          <w:tcPr>
            <w:tcW w:w="8837" w:type="dxa"/>
            <w:tcBorders/>
            <w:vAlign w:val="bottom"/>
          </w:tcPr>
          <w:p>
            <w:pPr>
              <w:pStyle w:val="TableContents"/>
              <w:bidi w:val="0"/>
              <w:spacing w:before="0" w:after="283"/>
              <w:jc w:val="left"/>
              <w:rPr/>
            </w:pPr>
            <w:r>
              <w:rPr/>
              <w:t>Registration Indemnification</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rHeight w:val="240" w:hRule="atLeast"/>
        </w:trPr>
        <w:tc>
          <w:tcPr>
            <w:tcW w:w="9478" w:type="dxa"/>
            <w:gridSpan w:val="3"/>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947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DEFINITIONS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rHeight w:val="240" w:hRule="atLeast"/>
        </w:trPr>
        <w:tc>
          <w:tcPr>
            <w:tcW w:w="546" w:type="dxa"/>
            <w:tcBorders/>
            <w:vAlign w:val="center"/>
          </w:tcPr>
          <w:p>
            <w:pPr>
              <w:pStyle w:val="TableContents"/>
              <w:bidi w:val="0"/>
              <w:spacing w:before="0" w:after="283"/>
              <w:jc w:val="left"/>
              <w:rPr>
                <w:sz w:val="4"/>
                <w:szCs w:val="4"/>
              </w:rPr>
            </w:pPr>
            <w:r>
              <w:rPr>
                <w:sz w:val="4"/>
                <w:szCs w:val="4"/>
              </w:rPr>
            </w:r>
          </w:p>
        </w:tc>
        <w:tc>
          <w:tcPr>
            <w:tcW w:w="8932"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546" w:type="dxa"/>
            <w:tcBorders/>
          </w:tcPr>
          <w:p>
            <w:pPr>
              <w:pStyle w:val="TableContents"/>
              <w:bidi w:val="0"/>
              <w:spacing w:before="0" w:after="0"/>
              <w:jc w:val="left"/>
              <w:rPr>
                <w:rFonts w:ascii="Times New Roman" w:hAnsi="Times New Roman"/>
                <w:sz w:val="20"/>
              </w:rPr>
            </w:pPr>
            <w:r>
              <w:rPr>
                <w:rFonts w:ascii="Times New Roman" w:hAnsi="Times New Roman"/>
                <w:sz w:val="20"/>
              </w:rPr>
              <w:t>5.1</w:t>
            </w:r>
          </w:p>
        </w:tc>
        <w:tc>
          <w:tcPr>
            <w:tcW w:w="95" w:type="dxa"/>
            <w:tcBorders/>
            <w:vAlign w:val="bottom"/>
          </w:tcPr>
          <w:p>
            <w:pPr>
              <w:pStyle w:val="TableContents"/>
              <w:bidi w:val="0"/>
              <w:spacing w:before="0" w:after="283"/>
              <w:jc w:val="left"/>
              <w:rPr/>
            </w:pPr>
            <w:r>
              <w:rPr/>
              <w:t> </w:t>
            </w:r>
          </w:p>
        </w:tc>
        <w:tc>
          <w:tcPr>
            <w:tcW w:w="8837" w:type="dxa"/>
            <w:tcBorders/>
            <w:vAlign w:val="bottom"/>
          </w:tcPr>
          <w:p>
            <w:pPr>
              <w:pStyle w:val="TableContents"/>
              <w:bidi w:val="0"/>
              <w:spacing w:before="0" w:after="283"/>
              <w:jc w:val="left"/>
              <w:rPr/>
            </w:pPr>
            <w:r>
              <w:rPr/>
              <w:t>Defined Terms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546" w:type="dxa"/>
            <w:tcBorders/>
          </w:tcPr>
          <w:p>
            <w:pPr>
              <w:pStyle w:val="TableContents"/>
              <w:bidi w:val="0"/>
              <w:spacing w:before="0" w:after="0"/>
              <w:jc w:val="left"/>
              <w:rPr>
                <w:rFonts w:ascii="Times New Roman" w:hAnsi="Times New Roman"/>
                <w:sz w:val="20"/>
              </w:rPr>
            </w:pPr>
            <w:r>
              <w:rPr>
                <w:rFonts w:ascii="Times New Roman" w:hAnsi="Times New Roman"/>
                <w:sz w:val="20"/>
              </w:rPr>
              <w:t>5.2</w:t>
            </w:r>
          </w:p>
        </w:tc>
        <w:tc>
          <w:tcPr>
            <w:tcW w:w="95" w:type="dxa"/>
            <w:tcBorders/>
            <w:vAlign w:val="bottom"/>
          </w:tcPr>
          <w:p>
            <w:pPr>
              <w:pStyle w:val="TableContents"/>
              <w:bidi w:val="0"/>
              <w:spacing w:before="0" w:after="283"/>
              <w:jc w:val="left"/>
              <w:rPr/>
            </w:pPr>
            <w:r>
              <w:rPr/>
              <w:t> </w:t>
            </w:r>
          </w:p>
        </w:tc>
        <w:tc>
          <w:tcPr>
            <w:tcW w:w="8837" w:type="dxa"/>
            <w:tcBorders/>
            <w:vAlign w:val="bottom"/>
          </w:tcPr>
          <w:p>
            <w:pPr>
              <w:pStyle w:val="TableContents"/>
              <w:bidi w:val="0"/>
              <w:spacing w:before="0" w:after="283"/>
              <w:jc w:val="left"/>
              <w:rPr/>
            </w:pPr>
            <w:r>
              <w:rPr/>
              <w:t>Other Defined Terms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546" w:type="dxa"/>
            <w:tcBorders/>
          </w:tcPr>
          <w:p>
            <w:pPr>
              <w:pStyle w:val="TableContents"/>
              <w:bidi w:val="0"/>
              <w:spacing w:before="0" w:after="0"/>
              <w:jc w:val="left"/>
              <w:rPr>
                <w:rFonts w:ascii="Times New Roman" w:hAnsi="Times New Roman"/>
                <w:sz w:val="20"/>
              </w:rPr>
            </w:pPr>
            <w:r>
              <w:rPr>
                <w:rFonts w:ascii="Times New Roman" w:hAnsi="Times New Roman"/>
                <w:sz w:val="20"/>
              </w:rPr>
              <w:t>5.3</w:t>
            </w:r>
          </w:p>
        </w:tc>
        <w:tc>
          <w:tcPr>
            <w:tcW w:w="95" w:type="dxa"/>
            <w:tcBorders/>
            <w:vAlign w:val="bottom"/>
          </w:tcPr>
          <w:p>
            <w:pPr>
              <w:pStyle w:val="TableContents"/>
              <w:bidi w:val="0"/>
              <w:spacing w:before="0" w:after="283"/>
              <w:jc w:val="left"/>
              <w:rPr/>
            </w:pPr>
            <w:r>
              <w:rPr/>
              <w:t> </w:t>
            </w:r>
          </w:p>
        </w:tc>
        <w:tc>
          <w:tcPr>
            <w:tcW w:w="8837" w:type="dxa"/>
            <w:tcBorders/>
            <w:vAlign w:val="bottom"/>
          </w:tcPr>
          <w:p>
            <w:pPr>
              <w:pStyle w:val="TableContents"/>
              <w:bidi w:val="0"/>
              <w:spacing w:before="0" w:after="283"/>
              <w:jc w:val="left"/>
              <w:rPr/>
            </w:pPr>
            <w:r>
              <w:rPr/>
              <w:t>Interpretation</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240" w:hRule="atLeast"/>
        </w:trPr>
        <w:tc>
          <w:tcPr>
            <w:tcW w:w="9478" w:type="dxa"/>
            <w:gridSpan w:val="3"/>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947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MISCELLANEOUS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240" w:hRule="atLeast"/>
        </w:trPr>
        <w:tc>
          <w:tcPr>
            <w:tcW w:w="546" w:type="dxa"/>
            <w:tcBorders/>
            <w:vAlign w:val="center"/>
          </w:tcPr>
          <w:p>
            <w:pPr>
              <w:pStyle w:val="TableContents"/>
              <w:bidi w:val="0"/>
              <w:spacing w:before="0" w:after="283"/>
              <w:jc w:val="left"/>
              <w:rPr>
                <w:sz w:val="4"/>
                <w:szCs w:val="4"/>
              </w:rPr>
            </w:pPr>
            <w:r>
              <w:rPr>
                <w:sz w:val="4"/>
                <w:szCs w:val="4"/>
              </w:rPr>
            </w:r>
          </w:p>
        </w:tc>
        <w:tc>
          <w:tcPr>
            <w:tcW w:w="8932"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546" w:type="dxa"/>
            <w:tcBorders/>
          </w:tcPr>
          <w:p>
            <w:pPr>
              <w:pStyle w:val="TableContents"/>
              <w:bidi w:val="0"/>
              <w:spacing w:before="0" w:after="0"/>
              <w:jc w:val="left"/>
              <w:rPr>
                <w:rFonts w:ascii="Times New Roman" w:hAnsi="Times New Roman"/>
                <w:sz w:val="20"/>
              </w:rPr>
            </w:pPr>
            <w:r>
              <w:rPr>
                <w:rFonts w:ascii="Times New Roman" w:hAnsi="Times New Roman"/>
                <w:sz w:val="20"/>
              </w:rPr>
              <w:t>6.1</w:t>
            </w:r>
          </w:p>
        </w:tc>
        <w:tc>
          <w:tcPr>
            <w:tcW w:w="95" w:type="dxa"/>
            <w:tcBorders/>
            <w:vAlign w:val="bottom"/>
          </w:tcPr>
          <w:p>
            <w:pPr>
              <w:pStyle w:val="TableContents"/>
              <w:bidi w:val="0"/>
              <w:spacing w:before="0" w:after="283"/>
              <w:jc w:val="left"/>
              <w:rPr/>
            </w:pPr>
            <w:r>
              <w:rPr/>
              <w:t> </w:t>
            </w:r>
          </w:p>
        </w:tc>
        <w:tc>
          <w:tcPr>
            <w:tcW w:w="8837" w:type="dxa"/>
            <w:tcBorders/>
            <w:vAlign w:val="bottom"/>
          </w:tcPr>
          <w:p>
            <w:pPr>
              <w:pStyle w:val="TableContents"/>
              <w:bidi w:val="0"/>
              <w:spacing w:before="0" w:after="283"/>
              <w:jc w:val="left"/>
              <w:rPr/>
            </w:pPr>
            <w:r>
              <w:rPr/>
              <w:t>Term</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546" w:type="dxa"/>
            <w:tcBorders/>
          </w:tcPr>
          <w:p>
            <w:pPr>
              <w:pStyle w:val="TableContents"/>
              <w:bidi w:val="0"/>
              <w:spacing w:before="0" w:after="0"/>
              <w:jc w:val="left"/>
              <w:rPr>
                <w:rFonts w:ascii="Times New Roman" w:hAnsi="Times New Roman"/>
                <w:sz w:val="20"/>
              </w:rPr>
            </w:pPr>
            <w:r>
              <w:rPr>
                <w:rFonts w:ascii="Times New Roman" w:hAnsi="Times New Roman"/>
                <w:sz w:val="20"/>
              </w:rPr>
              <w:t>6.2</w:t>
            </w:r>
          </w:p>
        </w:tc>
        <w:tc>
          <w:tcPr>
            <w:tcW w:w="95" w:type="dxa"/>
            <w:tcBorders/>
            <w:vAlign w:val="bottom"/>
          </w:tcPr>
          <w:p>
            <w:pPr>
              <w:pStyle w:val="TableContents"/>
              <w:bidi w:val="0"/>
              <w:spacing w:before="0" w:after="283"/>
              <w:jc w:val="left"/>
              <w:rPr/>
            </w:pPr>
            <w:r>
              <w:rPr/>
              <w:t> </w:t>
            </w:r>
          </w:p>
        </w:tc>
        <w:tc>
          <w:tcPr>
            <w:tcW w:w="8837" w:type="dxa"/>
            <w:tcBorders/>
            <w:vAlign w:val="bottom"/>
          </w:tcPr>
          <w:p>
            <w:pPr>
              <w:pStyle w:val="TableContents"/>
              <w:bidi w:val="0"/>
              <w:spacing w:before="0" w:after="283"/>
              <w:jc w:val="left"/>
              <w:rPr/>
            </w:pPr>
            <w:r>
              <w:rPr/>
              <w:t>Notices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546" w:type="dxa"/>
            <w:tcBorders/>
          </w:tcPr>
          <w:p>
            <w:pPr>
              <w:pStyle w:val="TableContents"/>
              <w:bidi w:val="0"/>
              <w:spacing w:before="0" w:after="0"/>
              <w:jc w:val="left"/>
              <w:rPr>
                <w:rFonts w:ascii="Times New Roman" w:hAnsi="Times New Roman"/>
                <w:sz w:val="20"/>
              </w:rPr>
            </w:pPr>
            <w:r>
              <w:rPr>
                <w:rFonts w:ascii="Times New Roman" w:hAnsi="Times New Roman"/>
                <w:sz w:val="20"/>
              </w:rPr>
              <w:t>6.3</w:t>
            </w:r>
          </w:p>
        </w:tc>
        <w:tc>
          <w:tcPr>
            <w:tcW w:w="95" w:type="dxa"/>
            <w:tcBorders/>
            <w:vAlign w:val="bottom"/>
          </w:tcPr>
          <w:p>
            <w:pPr>
              <w:pStyle w:val="TableContents"/>
              <w:bidi w:val="0"/>
              <w:spacing w:before="0" w:after="283"/>
              <w:jc w:val="left"/>
              <w:rPr/>
            </w:pPr>
            <w:r>
              <w:rPr/>
              <w:t> </w:t>
            </w:r>
          </w:p>
        </w:tc>
        <w:tc>
          <w:tcPr>
            <w:tcW w:w="8837" w:type="dxa"/>
            <w:tcBorders/>
            <w:vAlign w:val="bottom"/>
          </w:tcPr>
          <w:p>
            <w:pPr>
              <w:pStyle w:val="TableContents"/>
              <w:bidi w:val="0"/>
              <w:spacing w:before="0" w:after="283"/>
              <w:jc w:val="left"/>
              <w:rPr/>
            </w:pPr>
            <w:r>
              <w:rPr/>
              <w:t>Amendments and Waivers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546" w:type="dxa"/>
            <w:tcBorders/>
          </w:tcPr>
          <w:p>
            <w:pPr>
              <w:pStyle w:val="TableContents"/>
              <w:bidi w:val="0"/>
              <w:spacing w:before="0" w:after="0"/>
              <w:jc w:val="left"/>
              <w:rPr>
                <w:rFonts w:ascii="Times New Roman" w:hAnsi="Times New Roman"/>
                <w:sz w:val="20"/>
              </w:rPr>
            </w:pPr>
            <w:r>
              <w:rPr>
                <w:rFonts w:ascii="Times New Roman" w:hAnsi="Times New Roman"/>
                <w:sz w:val="20"/>
              </w:rPr>
              <w:t>6.4</w:t>
            </w:r>
          </w:p>
        </w:tc>
        <w:tc>
          <w:tcPr>
            <w:tcW w:w="95" w:type="dxa"/>
            <w:tcBorders/>
            <w:vAlign w:val="bottom"/>
          </w:tcPr>
          <w:p>
            <w:pPr>
              <w:pStyle w:val="TableContents"/>
              <w:bidi w:val="0"/>
              <w:spacing w:before="0" w:after="283"/>
              <w:jc w:val="left"/>
              <w:rPr/>
            </w:pPr>
            <w:r>
              <w:rPr/>
              <w:t> </w:t>
            </w:r>
          </w:p>
        </w:tc>
        <w:tc>
          <w:tcPr>
            <w:tcW w:w="8837" w:type="dxa"/>
            <w:tcBorders/>
            <w:vAlign w:val="bottom"/>
          </w:tcPr>
          <w:p>
            <w:pPr>
              <w:pStyle w:val="TableContents"/>
              <w:bidi w:val="0"/>
              <w:spacing w:before="0" w:after="283"/>
              <w:jc w:val="left"/>
              <w:rPr/>
            </w:pPr>
            <w:r>
              <w:rPr/>
              <w:t>Successors and Assigns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546" w:type="dxa"/>
            <w:tcBorders/>
          </w:tcPr>
          <w:p>
            <w:pPr>
              <w:pStyle w:val="TableContents"/>
              <w:bidi w:val="0"/>
              <w:spacing w:before="0" w:after="0"/>
              <w:jc w:val="left"/>
              <w:rPr>
                <w:rFonts w:ascii="Times New Roman" w:hAnsi="Times New Roman"/>
                <w:sz w:val="20"/>
              </w:rPr>
            </w:pPr>
            <w:r>
              <w:rPr>
                <w:rFonts w:ascii="Times New Roman" w:hAnsi="Times New Roman"/>
                <w:sz w:val="20"/>
              </w:rPr>
              <w:t>6.5</w:t>
            </w:r>
          </w:p>
        </w:tc>
        <w:tc>
          <w:tcPr>
            <w:tcW w:w="95" w:type="dxa"/>
            <w:tcBorders/>
            <w:vAlign w:val="bottom"/>
          </w:tcPr>
          <w:p>
            <w:pPr>
              <w:pStyle w:val="TableContents"/>
              <w:bidi w:val="0"/>
              <w:spacing w:before="0" w:after="283"/>
              <w:jc w:val="left"/>
              <w:rPr/>
            </w:pPr>
            <w:r>
              <w:rPr/>
              <w:t> </w:t>
            </w:r>
          </w:p>
        </w:tc>
        <w:tc>
          <w:tcPr>
            <w:tcW w:w="8837" w:type="dxa"/>
            <w:tcBorders/>
            <w:vAlign w:val="bottom"/>
          </w:tcPr>
          <w:p>
            <w:pPr>
              <w:pStyle w:val="TableContents"/>
              <w:bidi w:val="0"/>
              <w:spacing w:before="0" w:after="283"/>
              <w:jc w:val="left"/>
              <w:rPr/>
            </w:pPr>
            <w:r>
              <w:rPr/>
              <w:t>Severability</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546" w:type="dxa"/>
            <w:tcBorders/>
          </w:tcPr>
          <w:p>
            <w:pPr>
              <w:pStyle w:val="TableContents"/>
              <w:bidi w:val="0"/>
              <w:spacing w:before="0" w:after="0"/>
              <w:jc w:val="left"/>
              <w:rPr>
                <w:rFonts w:ascii="Times New Roman" w:hAnsi="Times New Roman"/>
                <w:sz w:val="20"/>
              </w:rPr>
            </w:pPr>
            <w:r>
              <w:rPr>
                <w:rFonts w:ascii="Times New Roman" w:hAnsi="Times New Roman"/>
                <w:sz w:val="20"/>
              </w:rPr>
              <w:t>6.6</w:t>
            </w:r>
          </w:p>
        </w:tc>
        <w:tc>
          <w:tcPr>
            <w:tcW w:w="95" w:type="dxa"/>
            <w:tcBorders/>
            <w:vAlign w:val="bottom"/>
          </w:tcPr>
          <w:p>
            <w:pPr>
              <w:pStyle w:val="TableContents"/>
              <w:bidi w:val="0"/>
              <w:spacing w:before="0" w:after="283"/>
              <w:jc w:val="left"/>
              <w:rPr/>
            </w:pPr>
            <w:r>
              <w:rPr/>
              <w:t> </w:t>
            </w:r>
          </w:p>
        </w:tc>
        <w:tc>
          <w:tcPr>
            <w:tcW w:w="8837" w:type="dxa"/>
            <w:tcBorders/>
            <w:vAlign w:val="bottom"/>
          </w:tcPr>
          <w:p>
            <w:pPr>
              <w:pStyle w:val="TableContents"/>
              <w:bidi w:val="0"/>
              <w:spacing w:before="0" w:after="283"/>
              <w:jc w:val="left"/>
              <w:rPr/>
            </w:pPr>
            <w:r>
              <w:rPr/>
              <w:t>Counterparts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546" w:type="dxa"/>
            <w:tcBorders/>
          </w:tcPr>
          <w:p>
            <w:pPr>
              <w:pStyle w:val="TableContents"/>
              <w:bidi w:val="0"/>
              <w:spacing w:before="0" w:after="0"/>
              <w:jc w:val="left"/>
              <w:rPr>
                <w:rFonts w:ascii="Times New Roman" w:hAnsi="Times New Roman"/>
                <w:sz w:val="20"/>
              </w:rPr>
            </w:pPr>
            <w:r>
              <w:rPr>
                <w:rFonts w:ascii="Times New Roman" w:hAnsi="Times New Roman"/>
                <w:sz w:val="20"/>
              </w:rPr>
              <w:t>6.7</w:t>
            </w:r>
          </w:p>
        </w:tc>
        <w:tc>
          <w:tcPr>
            <w:tcW w:w="95" w:type="dxa"/>
            <w:tcBorders/>
            <w:vAlign w:val="bottom"/>
          </w:tcPr>
          <w:p>
            <w:pPr>
              <w:pStyle w:val="TableContents"/>
              <w:bidi w:val="0"/>
              <w:spacing w:before="0" w:after="283"/>
              <w:jc w:val="left"/>
              <w:rPr/>
            </w:pPr>
            <w:r>
              <w:rPr/>
              <w:t> </w:t>
            </w:r>
          </w:p>
        </w:tc>
        <w:tc>
          <w:tcPr>
            <w:tcW w:w="8837" w:type="dxa"/>
            <w:tcBorders/>
            <w:vAlign w:val="bottom"/>
          </w:tcPr>
          <w:p>
            <w:pPr>
              <w:pStyle w:val="TableContents"/>
              <w:bidi w:val="0"/>
              <w:spacing w:before="0" w:after="283"/>
              <w:jc w:val="left"/>
              <w:rPr/>
            </w:pPr>
            <w:r>
              <w:rPr/>
              <w:t>Entire Agreement</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546" w:type="dxa"/>
            <w:tcBorders/>
          </w:tcPr>
          <w:p>
            <w:pPr>
              <w:pStyle w:val="TableContents"/>
              <w:bidi w:val="0"/>
              <w:spacing w:before="0" w:after="0"/>
              <w:jc w:val="left"/>
              <w:rPr>
                <w:rFonts w:ascii="Times New Roman" w:hAnsi="Times New Roman"/>
                <w:sz w:val="20"/>
              </w:rPr>
            </w:pPr>
            <w:r>
              <w:rPr>
                <w:rFonts w:ascii="Times New Roman" w:hAnsi="Times New Roman"/>
                <w:sz w:val="20"/>
              </w:rPr>
              <w:t>6.8</w:t>
            </w:r>
          </w:p>
        </w:tc>
        <w:tc>
          <w:tcPr>
            <w:tcW w:w="95" w:type="dxa"/>
            <w:tcBorders/>
            <w:vAlign w:val="bottom"/>
          </w:tcPr>
          <w:p>
            <w:pPr>
              <w:pStyle w:val="TableContents"/>
              <w:bidi w:val="0"/>
              <w:spacing w:before="0" w:after="283"/>
              <w:jc w:val="left"/>
              <w:rPr/>
            </w:pPr>
            <w:r>
              <w:rPr/>
              <w:t> </w:t>
            </w:r>
          </w:p>
        </w:tc>
        <w:tc>
          <w:tcPr>
            <w:tcW w:w="8837" w:type="dxa"/>
            <w:tcBorders/>
            <w:vAlign w:val="bottom"/>
          </w:tcPr>
          <w:p>
            <w:pPr>
              <w:pStyle w:val="TableContents"/>
              <w:bidi w:val="0"/>
              <w:spacing w:before="0" w:after="283"/>
              <w:jc w:val="left"/>
              <w:rPr/>
            </w:pPr>
            <w:r>
              <w:rPr/>
              <w:t>Governing Law; Jurisdiction; WAIVER OF JURY TRIAL</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546" w:type="dxa"/>
            <w:tcBorders/>
          </w:tcPr>
          <w:p>
            <w:pPr>
              <w:pStyle w:val="TableContents"/>
              <w:bidi w:val="0"/>
              <w:spacing w:before="0" w:after="0"/>
              <w:jc w:val="left"/>
              <w:rPr>
                <w:rFonts w:ascii="Times New Roman" w:hAnsi="Times New Roman"/>
                <w:sz w:val="20"/>
              </w:rPr>
            </w:pPr>
            <w:r>
              <w:rPr>
                <w:rFonts w:ascii="Times New Roman" w:hAnsi="Times New Roman"/>
                <w:sz w:val="20"/>
              </w:rPr>
              <w:t>6.9</w:t>
            </w:r>
          </w:p>
        </w:tc>
        <w:tc>
          <w:tcPr>
            <w:tcW w:w="95" w:type="dxa"/>
            <w:tcBorders/>
            <w:vAlign w:val="bottom"/>
          </w:tcPr>
          <w:p>
            <w:pPr>
              <w:pStyle w:val="TableContents"/>
              <w:bidi w:val="0"/>
              <w:spacing w:before="0" w:after="283"/>
              <w:jc w:val="left"/>
              <w:rPr/>
            </w:pPr>
            <w:r>
              <w:rPr/>
              <w:t> </w:t>
            </w:r>
          </w:p>
        </w:tc>
        <w:tc>
          <w:tcPr>
            <w:tcW w:w="8837" w:type="dxa"/>
            <w:tcBorders/>
            <w:vAlign w:val="bottom"/>
          </w:tcPr>
          <w:p>
            <w:pPr>
              <w:pStyle w:val="TableContents"/>
              <w:bidi w:val="0"/>
              <w:spacing w:before="0" w:after="283"/>
              <w:jc w:val="left"/>
              <w:rPr/>
            </w:pPr>
            <w:r>
              <w:rPr/>
              <w:t>Specific Performance</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546" w:type="dxa"/>
            <w:tcBorders/>
          </w:tcPr>
          <w:p>
            <w:pPr>
              <w:pStyle w:val="TableContents"/>
              <w:bidi w:val="0"/>
              <w:spacing w:before="0" w:after="0"/>
              <w:jc w:val="left"/>
              <w:rPr>
                <w:rFonts w:ascii="Times New Roman" w:hAnsi="Times New Roman"/>
                <w:sz w:val="20"/>
              </w:rPr>
            </w:pPr>
            <w:r>
              <w:rPr>
                <w:rFonts w:ascii="Times New Roman" w:hAnsi="Times New Roman"/>
                <w:sz w:val="20"/>
              </w:rPr>
              <w:t>6.10</w:t>
            </w:r>
          </w:p>
        </w:tc>
        <w:tc>
          <w:tcPr>
            <w:tcW w:w="95" w:type="dxa"/>
            <w:tcBorders/>
            <w:vAlign w:val="bottom"/>
          </w:tcPr>
          <w:p>
            <w:pPr>
              <w:pStyle w:val="TableContents"/>
              <w:bidi w:val="0"/>
              <w:spacing w:before="0" w:after="283"/>
              <w:jc w:val="left"/>
              <w:rPr/>
            </w:pPr>
            <w:r>
              <w:rPr/>
              <w:t> </w:t>
            </w:r>
          </w:p>
        </w:tc>
        <w:tc>
          <w:tcPr>
            <w:tcW w:w="8837" w:type="dxa"/>
            <w:tcBorders/>
            <w:vAlign w:val="bottom"/>
          </w:tcPr>
          <w:p>
            <w:pPr>
              <w:pStyle w:val="TableContents"/>
              <w:bidi w:val="0"/>
              <w:spacing w:before="0" w:after="283"/>
              <w:jc w:val="left"/>
              <w:rPr/>
            </w:pPr>
            <w:r>
              <w:rPr/>
              <w:t>No Third-Party Beneficiaries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INVESTOR RIGHTS AGREEMENT </w:t>
      </w:r>
    </w:p>
    <w:p>
      <w:pPr>
        <w:pStyle w:val="TextBody"/>
        <w:bidi w:val="0"/>
        <w:spacing w:before="240" w:after="0"/>
        <w:jc w:val="left"/>
        <w:rPr>
          <w:rFonts w:ascii="Times New Roman" w:hAnsi="Times New Roman"/>
          <w:sz w:val="20"/>
        </w:rPr>
      </w:pPr>
      <w:r>
        <w:rPr>
          <w:rFonts w:ascii="Times New Roman" w:hAnsi="Times New Roman"/>
          <w:b/>
          <w:sz w:val="20"/>
        </w:rPr>
        <w:t>INVESTOR RIGHTS AGREEMENT</w:t>
      </w:r>
      <w:r>
        <w:rPr>
          <w:rFonts w:ascii="Times New Roman" w:hAnsi="Times New Roman"/>
          <w:sz w:val="20"/>
        </w:rPr>
        <w:t>, dated as of October 21, 2026 (this “</w:t>
      </w:r>
      <w:r>
        <w:rPr>
          <w:rFonts w:ascii="Times New Roman" w:hAnsi="Times New Roman"/>
          <w:b/>
          <w:sz w:val="20"/>
        </w:rPr>
        <w:t>Agreement</w:t>
      </w:r>
      <w:r>
        <w:rPr>
          <w:rFonts w:ascii="Times New Roman" w:hAnsi="Times New Roman"/>
          <w:sz w:val="20"/>
        </w:rPr>
        <w:t>”), by and between Smith &amp; Wesson Brands, Inc., a Nevada corporation (“</w:t>
      </w:r>
      <w:r>
        <w:rPr>
          <w:rFonts w:ascii="Times New Roman" w:hAnsi="Times New Roman"/>
          <w:b/>
          <w:sz w:val="20"/>
        </w:rPr>
        <w:t>Parent</w:t>
      </w:r>
      <w:r>
        <w:rPr>
          <w:rFonts w:ascii="Times New Roman" w:hAnsi="Times New Roman"/>
          <w:sz w:val="20"/>
        </w:rPr>
        <w:t>”), and Savarms, L.P., a Texas limited partnership (the “</w:t>
      </w:r>
      <w:r>
        <w:rPr>
          <w:rFonts w:ascii="Times New Roman" w:hAnsi="Times New Roman"/>
          <w:b/>
          <w:sz w:val="20"/>
        </w:rPr>
        <w:t>Investor</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on October 21, 2026, Parent, Tristar Merger Sub, LLC, a Delaware limited liability company and wholly owned Subsidiary of Parent (“</w:t>
      </w:r>
      <w:r>
        <w:rPr>
          <w:rFonts w:ascii="Times New Roman" w:hAnsi="Times New Roman"/>
          <w:b/>
          <w:sz w:val="20"/>
        </w:rPr>
        <w:t>Merger Sub</w:t>
      </w:r>
      <w:r>
        <w:rPr>
          <w:rFonts w:ascii="Times New Roman" w:hAnsi="Times New Roman"/>
          <w:sz w:val="20"/>
        </w:rPr>
        <w:t>”), Investor, and Long Range Intermediate LLC, a Delaware limited liability company (the “</w:t>
      </w:r>
      <w:r>
        <w:rPr>
          <w:rFonts w:ascii="Times New Roman" w:hAnsi="Times New Roman"/>
          <w:b/>
          <w:sz w:val="20"/>
        </w:rPr>
        <w:t>Company</w:t>
      </w:r>
      <w:r>
        <w:rPr>
          <w:rFonts w:ascii="Times New Roman" w:hAnsi="Times New Roman"/>
          <w:sz w:val="20"/>
        </w:rPr>
        <w:t>”), entered into an Agreement and Plan of Merger (as it may be amended, supplemented or otherwise modified from time to time, the “</w:t>
      </w:r>
      <w:r>
        <w:rPr>
          <w:rFonts w:ascii="Times New Roman" w:hAnsi="Times New Roman"/>
          <w:b/>
          <w:sz w:val="20"/>
        </w:rPr>
        <w:t>Merger Agreement</w:t>
      </w:r>
      <w:r>
        <w:rPr>
          <w:rFonts w:ascii="Times New Roman" w:hAnsi="Times New Roman"/>
          <w:sz w:val="20"/>
        </w:rPr>
        <w:t xml:space="preserve">”), pursuant to which, among other things, Merger Sub merged with and into the Company, with the Company surviving as a wholly owned Subsidiary of Parent, and, immediately thereafter, the Company merged with and into Parent, with Parent surviving, on the terms and subject to the conditions set forth in the Merger Agreement;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pursuant to and subject to the terms and conditions of the Merger Agreement, in connection with the consummation of the transactions contemplated thereby (the “</w:t>
      </w:r>
      <w:r>
        <w:rPr>
          <w:rFonts w:ascii="Times New Roman" w:hAnsi="Times New Roman"/>
          <w:b/>
          <w:sz w:val="20"/>
        </w:rPr>
        <w:t>Closing</w:t>
      </w:r>
      <w:r>
        <w:rPr>
          <w:rFonts w:ascii="Times New Roman" w:hAnsi="Times New Roman"/>
          <w:sz w:val="20"/>
        </w:rPr>
        <w:t>”), the Investor has received shares of common stock, par value $0.001 per share, of Parent (the “</w:t>
      </w:r>
      <w:r>
        <w:rPr>
          <w:rFonts w:ascii="Times New Roman" w:hAnsi="Times New Roman"/>
          <w:b/>
          <w:sz w:val="20"/>
        </w:rPr>
        <w:t>Parent Common Stock</w:t>
      </w:r>
      <w:r>
        <w:rPr>
          <w:rFonts w:ascii="Times New Roman" w:hAnsi="Times New Roman"/>
          <w:sz w:val="20"/>
        </w:rPr>
        <w:t xml:space="preserve">”) and cash;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in connection with and pursuant to the Merger Agreement, each of the parties hereto wishes to set forth in this Agreement certain terms and conditions regarding certain governance matters and the Investor’s ownership of the Parent Common Stock and to establish certain rights, restrictions and obligations of Parent and the Investor with respect to the Parent Common Stock.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covenants, representations, warranties and agreements contained in this Agreement, and other good and valuable consideration, the receipt and sufficiency of which are hereby acknowledged, and intending to be legally bound hereby, the parties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GOVERNANCE MATTERS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rPr>
        <w:t>Composition of the Parent Board at the Closing</w:t>
      </w:r>
      <w:r>
        <w:rPr>
          <w:rFonts w:ascii="Times New Roman" w:hAnsi="Times New Roman"/>
          <w:sz w:val="20"/>
        </w:rPr>
        <w:t>. As of the Closing Date, Parent and the Board of Directors of Parent (the “</w:t>
      </w:r>
      <w:r>
        <w:rPr>
          <w:rFonts w:ascii="Times New Roman" w:hAnsi="Times New Roman"/>
          <w:b/>
          <w:sz w:val="20"/>
        </w:rPr>
        <w:t>Parent Board</w:t>
      </w:r>
      <w:r>
        <w:rPr>
          <w:rFonts w:ascii="Times New Roman" w:hAnsi="Times New Roman"/>
          <w:sz w:val="20"/>
        </w:rPr>
        <w:t xml:space="preserve">”) have taken all action necessary to cause (i) there to be one vacancy on the Parent Board, and (ii) Michael Fertitta, as designated by the Investor, to be appointed to fill such vacancy on the Parent Board as the initial Investor Designee hereunder, such that the Parent Board shall consist of seven directors immediately following the Closing Date.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rPr>
        <w:t>Composition of the Parent Board Following the Closing</w:t>
      </w:r>
      <w:r>
        <w:rPr>
          <w:rFonts w:ascii="Times New Roman" w:hAnsi="Times New Roman"/>
          <w:sz w:val="20"/>
        </w:rPr>
        <w:t xml:space="preserve">. From the Closing Date and thereafter until the earlier of (i) the first date on which the Investor Percentage Interest falls below the Qualifying Threshold and (ii) the date on which the Standstill Period terminates pursuant to the second sentence of the definition thereof: </w:t>
      </w:r>
    </w:p>
    <w:p>
      <w:pPr>
        <w:pStyle w:val="TextBody"/>
        <w:bidi w:val="0"/>
        <w:spacing w:before="240" w:after="0"/>
        <w:jc w:val="left"/>
        <w:rPr>
          <w:rFonts w:ascii="Times New Roman" w:hAnsi="Times New Roman"/>
          <w:sz w:val="20"/>
        </w:rPr>
      </w:pPr>
      <w:r>
        <w:rPr>
          <w:rFonts w:ascii="Times New Roman" w:hAnsi="Times New Roman"/>
          <w:sz w:val="20"/>
        </w:rPr>
        <w:t xml:space="preserve">(a) Parent and the Parent Board shall take all necessary actions to ensure that, at all times when the Investor Director is eligible to be designated, nominated and/or elected pursuant hereto, there is a vacancy on the Parent Board to permit such designation, nomination and/or election.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At each annual or special meeting of the stockholders of Parent at which directors are to be elected to the Parent Board, Parent and the Parent Board shall include the Investor Designee in Parent’s slate of nominees and in Parent’s proxy statement and related proxy materials for such meeting, recommend that Parent’s stockholders vote in favor of the election of the Investor Designee, and use reasonable best efforts to cause the election of the Investor Designee to the Parent Board, in each case subject to the fiduciary duties of the Parent Board and the Nominations and Corporate Governance Committee of the Parent Board under Applicable Law; </w:t>
      </w:r>
      <w:r>
        <w:rPr>
          <w:rFonts w:ascii="Times New Roman" w:hAnsi="Times New Roman"/>
          <w:sz w:val="20"/>
          <w:u w:val="single"/>
        </w:rPr>
        <w:t>provided</w:t>
      </w:r>
      <w:r>
        <w:rPr>
          <w:rFonts w:ascii="Times New Roman" w:hAnsi="Times New Roman"/>
          <w:sz w:val="20"/>
        </w:rPr>
        <w:t xml:space="preserve"> that Parent shall not be required to use any greater standard of efforts than Parent utilizes with respect to the election of its director nominees other than the Investor Designee. </w:t>
      </w:r>
    </w:p>
    <w:p>
      <w:pPr>
        <w:pStyle w:val="TextBody"/>
        <w:bidi w:val="0"/>
        <w:spacing w:before="240" w:after="0"/>
        <w:jc w:val="left"/>
        <w:rPr>
          <w:rFonts w:ascii="Times New Roman" w:hAnsi="Times New Roman"/>
          <w:sz w:val="20"/>
        </w:rPr>
      </w:pPr>
      <w:r>
        <w:rPr>
          <w:rFonts w:ascii="Times New Roman" w:hAnsi="Times New Roman"/>
          <w:sz w:val="20"/>
        </w:rPr>
        <w:t xml:space="preserve">(c) The Investor shall have the right to cause any Investor Director to resign from his or her directorship on the Parent Board at any time. </w:t>
      </w:r>
    </w:p>
    <w:p>
      <w:pPr>
        <w:pStyle w:val="TextBody"/>
        <w:bidi w:val="0"/>
        <w:spacing w:before="240" w:after="0"/>
        <w:jc w:val="left"/>
        <w:rPr>
          <w:rFonts w:ascii="Times New Roman" w:hAnsi="Times New Roman"/>
          <w:sz w:val="20"/>
        </w:rPr>
      </w:pPr>
      <w:r>
        <w:rPr>
          <w:rFonts w:ascii="Times New Roman" w:hAnsi="Times New Roman"/>
          <w:sz w:val="20"/>
        </w:rPr>
        <w:t xml:space="preserve">(d) The Investor shall notify Parent of the identity of each proposed Investor Designee, in writing, on or before the time by which such information is reasonably requested, in writing, by the Parent Board or the Nominations and Corporate Governance Committee of the Parent Board for inclusion in a proxy statement for an annual or special meeting of the stockholders of Parent at which directors are to be elected to the Parent Board, together with all information about each proposed Investor Designee as shall be reasonably requested by the Parent Board or the Nominations and Corporate Governance Committee of the Parent Board, including, without limitation, all information required to be provided in Parent’s annual director and officer questionnaire; </w:t>
      </w:r>
      <w:r>
        <w:rPr>
          <w:rFonts w:ascii="Times New Roman" w:hAnsi="Times New Roman"/>
          <w:sz w:val="20"/>
          <w:u w:val="single"/>
        </w:rPr>
        <w:t>provided</w:t>
      </w:r>
      <w:r>
        <w:rPr>
          <w:rFonts w:ascii="Times New Roman" w:hAnsi="Times New Roman"/>
          <w:sz w:val="20"/>
        </w:rPr>
        <w:t xml:space="preserve">, that in the event the Investor fails to provide any such notice, the applicable individual then serving as the Investor Director shall be deemed to be the Investor Designee for such meeting. For the avoidance of doubt, the Investor shall not be required to comply with any other advance notice provisions generally applicable to the nomination of directors by Parent so long as the Investor complies with this </w:t>
      </w:r>
      <w:r>
        <w:rPr>
          <w:rFonts w:ascii="Times New Roman" w:hAnsi="Times New Roman"/>
          <w:sz w:val="20"/>
          <w:u w:val="single"/>
        </w:rPr>
        <w:t>Section 1.2(d)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In the event of the death, disability, resignation or removal of an Investor Director or if an Investor Director ceases to serve on the Parent Board for any other reason, in each case at a time when the Investor remains entitled to designate an Investor Designee pursuant to </w:t>
      </w:r>
      <w:r>
        <w:rPr>
          <w:rFonts w:ascii="Times New Roman" w:hAnsi="Times New Roman"/>
          <w:sz w:val="20"/>
          <w:u w:val="single"/>
        </w:rPr>
        <w:t>Section 1.2</w:t>
      </w:r>
      <w:r>
        <w:rPr>
          <w:rFonts w:ascii="Times New Roman" w:hAnsi="Times New Roman"/>
          <w:sz w:val="20"/>
        </w:rPr>
        <w:t xml:space="preserve">, Parent and the Parent Board shall take all action necessary to promptly appoint to the Parent Board, and to all committees on which such Investor Director served, respectively, a replacement Investor Designee to fill the resulting vacancy, subject to and in accordance with the procedures and the Eligibility Criteria set forth in </w:t>
      </w:r>
      <w:r>
        <w:rPr>
          <w:rFonts w:ascii="Times New Roman" w:hAnsi="Times New Roman"/>
          <w:sz w:val="20"/>
          <w:u w:val="single"/>
        </w:rPr>
        <w:t>Section 1.3</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if an Investor Director is removed for cause, the replacement Investor Designee shall not be the same individual who was removed. </w:t>
      </w:r>
    </w:p>
    <w:p>
      <w:pPr>
        <w:pStyle w:val="TextBody"/>
        <w:bidi w:val="0"/>
        <w:spacing w:before="240" w:after="0"/>
        <w:jc w:val="left"/>
        <w:rPr>
          <w:rFonts w:ascii="Times New Roman" w:hAnsi="Times New Roman"/>
          <w:sz w:val="20"/>
        </w:rPr>
      </w:pPr>
      <w:r>
        <w:rPr>
          <w:rFonts w:ascii="Times New Roman" w:hAnsi="Times New Roman"/>
          <w:sz w:val="20"/>
        </w:rPr>
        <w:t xml:space="preserve">(f) Each Investor Director shall be entitled (i) to reimbursement of travel and other expenses incurred in connection with such Investor Director’s service on the Parent Board, including any service on any committee of the Parent Board, to the same extent such reimbursement is provided to the other non-employee directors of Parent and (ii) to indemnification rights no less favorable than those generally provided to other non-employee directors of Parent. Each Investor Director shall be entitled to receive the same annual retainer, equity compensation and other fees or compensation from Parent for service on the Parent Board and each committee of the Parent Board as is payable to the other non-employee directors of Parent for the same service, on the same terms and conditions as are applicable to such directors. Parent shall maintain in full force and effect directors’ and officers’ liability insurance and each Investor Director shall be covered thereby in such a manner as to provide each Investor Director in his or her capacity as a director of Parent with rights and benefits under all directors’ and officers’ insurance policies no less favorable than those generally provided to other non-employee directors of Parent. Notwithstanding anything to the contrary in this Agreement, no Investor Director shall accept any compensation, reimbursement or indemnification for, or any other payment or economic benefit in connection with, his or her service as a director of Parent from any Person other than Parent (excluding, for the avoidance of doubt, compensation, benefits and indemnification provided by the Investor or its Affiliates to such individual in his or her capacity as an employee, partner, member, officer or director of the Investor or its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For the avoidance of doubt, in the event that the Investor Percentage Interest falls below the Qualifying Threshold, the Investor shall not regain the right to nominate an Investor Director through the acquisition of other shares of Parent Common Stock. </w:t>
      </w:r>
    </w:p>
    <w:p>
      <w:pPr>
        <w:pStyle w:val="TextBody"/>
        <w:bidi w:val="0"/>
        <w:spacing w:before="240" w:after="0"/>
        <w:jc w:val="left"/>
        <w:rPr>
          <w:rFonts w:ascii="Times New Roman" w:hAnsi="Times New Roman"/>
          <w:b/>
          <w:sz w:val="20"/>
        </w:rPr>
      </w:pPr>
      <w:r>
        <w:rPr>
          <w:rFonts w:ascii="Times New Roman" w:hAnsi="Times New Roman"/>
          <w:b/>
          <w:sz w:val="20"/>
        </w:rPr>
        <w:t xml:space="preserve">1.3 Eligibility Criteria; Resignation. </w:t>
      </w:r>
    </w:p>
    <w:p>
      <w:pPr>
        <w:pStyle w:val="TextBody"/>
        <w:bidi w:val="0"/>
        <w:spacing w:before="240" w:after="0"/>
        <w:jc w:val="left"/>
        <w:rPr>
          <w:rFonts w:ascii="Times New Roman" w:hAnsi="Times New Roman"/>
          <w:sz w:val="20"/>
        </w:rPr>
      </w:pPr>
      <w:r>
        <w:rPr>
          <w:rFonts w:ascii="Times New Roman" w:hAnsi="Times New Roman"/>
          <w:sz w:val="20"/>
        </w:rPr>
        <w:t>(a) Each Investor Director shall (i) not be or have been the subject of a conviction or proceeding enumerated in Item 2(d) or (e) of Schedule 13D under the Exchange Act, (ii) not be or have been a party to a proceeding, or be subject to an order, judgment or decree, of the type enumerated in Item 401(f) of Regulation S-K in the five-year period preceding the date of determination or be subject to any order, decree or judgment of any court or agency prohibiting service as a director of any United States public company, (iii) satisfy all applicable requirements and standards imposed by Applicable Law, the Nasdaq Stock Market (“</w:t>
      </w:r>
      <w:r>
        <w:rPr>
          <w:rFonts w:ascii="Times New Roman" w:hAnsi="Times New Roman"/>
          <w:b/>
          <w:sz w:val="20"/>
        </w:rPr>
        <w:t>Nasdaq</w:t>
      </w:r>
      <w:r>
        <w:rPr>
          <w:rFonts w:ascii="Times New Roman" w:hAnsi="Times New Roman"/>
          <w:sz w:val="20"/>
        </w:rPr>
        <w:t>”) or any other national securities exchange on which shares of Parent Common Stock are then listed, (iv) be reasonably acceptable to the Nominations and Corporate Governance Committee of the Parent Board, taking into account, among other things, the terms of this Agreement and the other Transaction Documents and any actual or potential conflicts of interest, (v) comply, at all times during his or her service on the Parent Board, with his or her fiduciary duties under Applicable Law and all policies, procedures, codes, rules and guidelines of Parent generally applicable to non-employee directors of Parent, including Parent’s code of business conduct and ethics, corporate governance guidelines, insider trading policy and confidentiality policies and (vi) be “independent” pursuant to the listing standards of Nasdaq or other national securities exchange on which shares of Parent Common Stock are then listed (</w:t>
      </w:r>
      <w:r>
        <w:rPr>
          <w:rFonts w:ascii="Times New Roman" w:hAnsi="Times New Roman"/>
          <w:sz w:val="20"/>
          <w:u w:val="single"/>
        </w:rPr>
        <w:t>provided</w:t>
      </w:r>
      <w:r>
        <w:rPr>
          <w:rFonts w:ascii="Times New Roman" w:hAnsi="Times New Roman"/>
          <w:sz w:val="20"/>
        </w:rPr>
        <w:t xml:space="preserve"> that in no event shall any Investor Designee be deemed not to satisfy this clause (vi) by virtue of the relationship between the Investor and its Affiliates, on the one hand, and the Company and its Affiliates, on the other hand, including Investor’s ownership of Equity Interests of the Company prior to the Closing or the fact that such Investor Designee is an employee, officer, director, agent or other representative of the Investor or any of its Affiliates) (collectively, the “</w:t>
      </w:r>
      <w:r>
        <w:rPr>
          <w:rFonts w:ascii="Times New Roman" w:hAnsi="Times New Roman"/>
          <w:b/>
          <w:sz w:val="20"/>
        </w:rPr>
        <w:t>Eligibility Criteria</w:t>
      </w:r>
      <w:r>
        <w:rPr>
          <w:rFonts w:ascii="Times New Roman" w:hAnsi="Times New Roman"/>
          <w:sz w:val="20"/>
        </w:rPr>
        <w:t xml:space="preserve">”); it being understood and agreed by the parties that Michael Fertitta meets the foregoing Eligibility Criteria.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the Investor designates any Investor Designee other than Michael Fertitta and the Parent Board or the Nominations and Corporate Governance Committee of the Parent Board determines in good faith that such Investor Designee fails to satisfy the Eligibility Criteria, (i) the Parent Board or the Nominations and Corporate Governance Committee of the Parent Board shall notify the Investor within ten Business Days of such designation by written notice, setting forth the relevant facts upon which such notice is based, and (ii) the Investor may propose another individual as a replacement therefor, whose appointment shall be subject to satisfaction of the Eligibility Criteria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in this </w:t>
      </w:r>
      <w:r>
        <w:rPr>
          <w:rFonts w:ascii="Times New Roman" w:hAnsi="Times New Roman"/>
          <w:sz w:val="20"/>
          <w:u w:val="single"/>
        </w:rPr>
        <w:t>Article I</w:t>
      </w:r>
      <w:r>
        <w:rPr>
          <w:rFonts w:ascii="Times New Roman" w:hAnsi="Times New Roman"/>
          <w:sz w:val="20"/>
        </w:rPr>
        <w:t xml:space="preserve">, the Investor will not be entitled to designate any individual to the Parent Board or any committee of the Parent Board pursuant to this </w:t>
      </w:r>
      <w:r>
        <w:rPr>
          <w:rFonts w:ascii="Times New Roman" w:hAnsi="Times New Roman"/>
          <w:sz w:val="20"/>
          <w:u w:val="single"/>
        </w:rPr>
        <w:t>Article I</w:t>
      </w:r>
      <w:r>
        <w:rPr>
          <w:rFonts w:ascii="Times New Roman" w:hAnsi="Times New Roman"/>
          <w:sz w:val="20"/>
        </w:rPr>
        <w:t xml:space="preserve"> if such individual does not satisfy the Eligibility Criteria, and the Investor agrees to cause any Investor Director then serving on the Parent Board to resign from such position promptly upon written notice from Parent to the Investor of such Investor Director’s failure to satisfy any of the Eligibility Criteria set forth in the first sentence of </w:t>
      </w:r>
      <w:r>
        <w:rPr>
          <w:rFonts w:ascii="Times New Roman" w:hAnsi="Times New Roman"/>
          <w:sz w:val="20"/>
          <w:u w:val="single"/>
        </w:rPr>
        <w:t>Section 1.3(a)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The Investor shall cause any Investor Director then serving on the Parent Board to resign promptly (but in any event, within two Business Days) following the earliest to occur of (i) the first date on which the Investor Percentage Interest falls below the Qualifying Threshold, and (ii) any failure to comply with or breach of any provision of this Agreement by any Investor Party or any Affiliate of any Investor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1.4 Confidentiality. </w:t>
      </w:r>
    </w:p>
    <w:p>
      <w:pPr>
        <w:pStyle w:val="TextBody"/>
        <w:bidi w:val="0"/>
        <w:spacing w:before="240" w:after="0"/>
        <w:jc w:val="left"/>
        <w:rPr>
          <w:rFonts w:ascii="Times New Roman" w:hAnsi="Times New Roman"/>
          <w:sz w:val="20"/>
        </w:rPr>
      </w:pPr>
      <w:r>
        <w:rPr>
          <w:rFonts w:ascii="Times New Roman" w:hAnsi="Times New Roman"/>
          <w:sz w:val="20"/>
        </w:rPr>
        <w:t xml:space="preserve">(a) The Investor hereby agrees that all Confidential Information with respect to Parent, its Subsidiaries and its and their businesses, finances and operations shall be kept confidential by the Investor and each Investor Director and shall not be disclosed by the Investor or any Investor Director in any manner whatsoever, except as expressly permitted by this </w:t>
      </w:r>
      <w:r>
        <w:rPr>
          <w:rFonts w:ascii="Times New Roman" w:hAnsi="Times New Roman"/>
          <w:sz w:val="20"/>
          <w:u w:val="single"/>
        </w:rPr>
        <w:t>Section 1.4(a)</w:t>
      </w:r>
      <w:r>
        <w:rPr>
          <w:rFonts w:ascii="Times New Roman" w:hAnsi="Times New Roman"/>
          <w:sz w:val="20"/>
        </w:rPr>
        <w:t xml:space="preserve">. Notwithstanding the preceding sentence or anything else to the contrary in this Agreement, any Confidential Information may be disclosed: </w:t>
      </w:r>
    </w:p>
    <w:p>
      <w:pPr>
        <w:pStyle w:val="TextBody"/>
        <w:bidi w:val="0"/>
        <w:spacing w:before="120" w:after="0"/>
        <w:jc w:val="left"/>
        <w:rPr>
          <w:rFonts w:ascii="Times New Roman" w:hAnsi="Times New Roman"/>
          <w:sz w:val="20"/>
        </w:rPr>
      </w:pPr>
      <w:r>
        <w:rPr>
          <w:rFonts w:ascii="Times New Roman" w:hAnsi="Times New Roman"/>
          <w:sz w:val="20"/>
        </w:rPr>
        <w:t>(i) by (A) an Investor Director to any of its authorized representatives (including attorneys, accountants, consultants, bankers and financial advisors) or (B) the Investor to its or any of its Affiliates’ respective directors, officers, employees and authorized representatives (including attorneys, accountants, consultants, bankers and financial advisors thereof) (each of the Persons described in the foregoing clauses (A) and (B), a “</w:t>
      </w:r>
      <w:r>
        <w:rPr>
          <w:rFonts w:ascii="Times New Roman" w:hAnsi="Times New Roman"/>
          <w:b/>
          <w:sz w:val="20"/>
        </w:rPr>
        <w:t>Representative</w:t>
      </w:r>
      <w:r>
        <w:rPr>
          <w:rFonts w:ascii="Times New Roman" w:hAnsi="Times New Roman"/>
          <w:sz w:val="20"/>
        </w:rPr>
        <w:t xml:space="preserve">”), in each case, solely if and to the extent any Representative needs to be provided such Confidential Information to enable or assist the Investor Director or the Investor (or any of its Affiliates) in evaluating or reviewing its investment in Parent, including in connection with the disposition thereof, and such Confidential Information shall only be used by the Investor Director or the Investor (or any of its Affiliates) and their respective Representatives for that purpose and not for any other purpose; </w:t>
      </w:r>
      <w:r>
        <w:rPr>
          <w:rFonts w:ascii="Times New Roman" w:hAnsi="Times New Roman"/>
          <w:sz w:val="20"/>
          <w:u w:val="single"/>
        </w:rPr>
        <w:t>provided</w:t>
      </w:r>
      <w:r>
        <w:rPr>
          <w:rFonts w:ascii="Times New Roman" w:hAnsi="Times New Roman"/>
          <w:sz w:val="20"/>
        </w:rPr>
        <w:t xml:space="preserve">, that none of the Investor Director, the Investor or its Affiliates shall disclose Confidential Information to any Representative unless such Person has a need to know such information for the purpose described above and has agreed in writing, or is bound by professional or fiduciary obligations, to keep such information confidential on terms substantially consistent with this </w:t>
      </w:r>
      <w:r>
        <w:rPr>
          <w:rFonts w:ascii="Times New Roman" w:hAnsi="Times New Roman"/>
          <w:sz w:val="20"/>
          <w:u w:val="single"/>
        </w:rPr>
        <w:t>Section 1.4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by the Investor to its or any of its Affiliates’ existing and prospective investors, lenders, and financing sources, </w:t>
      </w:r>
      <w:r>
        <w:rPr>
          <w:rFonts w:ascii="Times New Roman" w:hAnsi="Times New Roman"/>
          <w:sz w:val="20"/>
          <w:u w:val="single"/>
        </w:rPr>
        <w:t>provided</w:t>
      </w:r>
      <w:r>
        <w:rPr>
          <w:rFonts w:ascii="Times New Roman" w:hAnsi="Times New Roman"/>
          <w:sz w:val="20"/>
        </w:rPr>
        <w:t xml:space="preserve">, that (A) such recipients are under a written contractual obligation of confidentiality to hold such information in confidence under terms at least as restrictive as those contained in this </w:t>
      </w:r>
      <w:r>
        <w:rPr>
          <w:rFonts w:ascii="Times New Roman" w:hAnsi="Times New Roman"/>
          <w:sz w:val="20"/>
          <w:u w:val="single"/>
        </w:rPr>
        <w:t>Section 1.4,</w:t>
      </w:r>
      <w:r>
        <w:rPr>
          <w:rFonts w:ascii="Times New Roman" w:hAnsi="Times New Roman"/>
          <w:sz w:val="20"/>
        </w:rPr>
        <w:t xml:space="preserve"> (B) no such recipient is (y) an Activist Stockholder with respect to Parent or (z) a Person identified on </w:t>
      </w:r>
      <w:r>
        <w:rPr>
          <w:rFonts w:ascii="Times New Roman" w:hAnsi="Times New Roman"/>
          <w:sz w:val="20"/>
          <w:u w:val="single"/>
        </w:rPr>
        <w:t>Schedule I</w:t>
      </w:r>
      <w:r>
        <w:rPr>
          <w:rFonts w:ascii="Times New Roman" w:hAnsi="Times New Roman"/>
          <w:sz w:val="20"/>
        </w:rPr>
        <w:t xml:space="preserve"> hereto (including any successor-in-interest to, or any Affiliate of, such Person), and (C) with respect to any prospective investor, lender, or financing source, the Investor shall provide Parent with at least three (3) Business Days’ prior written notice of the identity of such prospective recipient prior to making any disclosure to it; </w:t>
      </w:r>
    </w:p>
    <w:p>
      <w:pPr>
        <w:pStyle w:val="TextBody"/>
        <w:bidi w:val="0"/>
        <w:spacing w:before="120" w:after="0"/>
        <w:jc w:val="left"/>
        <w:rPr>
          <w:rFonts w:ascii="Times New Roman" w:hAnsi="Times New Roman"/>
          <w:sz w:val="20"/>
        </w:rPr>
      </w:pPr>
      <w:r>
        <w:rPr>
          <w:rFonts w:ascii="Times New Roman" w:hAnsi="Times New Roman"/>
          <w:sz w:val="20"/>
        </w:rPr>
        <w:t xml:space="preserve">(iii) by the Investor Director, Investor or any Affiliate of the Investor, or any of their respective Representatives to the extent Parent consents in writing to such disclosure; and </w:t>
      </w:r>
    </w:p>
    <w:p>
      <w:pPr>
        <w:pStyle w:val="TextBody"/>
        <w:bidi w:val="0"/>
        <w:spacing w:before="120" w:after="0"/>
        <w:jc w:val="left"/>
        <w:rPr>
          <w:rFonts w:ascii="Times New Roman" w:hAnsi="Times New Roman"/>
          <w:sz w:val="20"/>
        </w:rPr>
      </w:pPr>
      <w:r>
        <w:rPr>
          <w:rFonts w:ascii="Times New Roman" w:hAnsi="Times New Roman"/>
          <w:sz w:val="20"/>
        </w:rPr>
        <w:t xml:space="preserve">(iv) by the Investor Director, Investor or any Affiliate of the Investor, or any of their respective Representatives to the extent that any such Person has received advice from its counsel (which may be internal counsel) that it is legally compelled to do so or is required to do so to comply with Applicable Law or legal process; </w:t>
      </w:r>
      <w:r>
        <w:rPr>
          <w:rFonts w:ascii="Times New Roman" w:hAnsi="Times New Roman"/>
          <w:sz w:val="20"/>
          <w:u w:val="single"/>
        </w:rPr>
        <w:t>provided</w:t>
      </w:r>
      <w:r>
        <w:rPr>
          <w:rFonts w:ascii="Times New Roman" w:hAnsi="Times New Roman"/>
          <w:sz w:val="20"/>
        </w:rPr>
        <w:t xml:space="preserve">, that prior to making such disclosure, the Person intending to make such disclosure uses its reasonable efforts to preserve the confidentiality of the Confidential Information to the fullest extent permitted by Applicable Law, including, to the fullest extent permitted by Applicable Law, by (A) sending written notice to Parent (as soon as reasonably practicable and no later than five Business Days after receipt of a demand for any such disclosure) and consulting with Parent regarding such disclosure and (B) if requested by Parent, reasonably cooperating with Parent in seeking a protective order, in seeking any disclosure to be filed under seal,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to limit the scope of the required disclosure;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Person making such disclosure shall use its reasonable efforts (by redaction or otherwise) to disclose only that portion of the Confidential Information as is, based on the advice of its counsel, legally required or compelled and to obtain assurances that confidential treatment will be afforded to any Confidential Information so disclosed. </w:t>
      </w:r>
    </w:p>
    <w:p>
      <w:pPr>
        <w:pStyle w:val="TextBody"/>
        <w:bidi w:val="0"/>
        <w:spacing w:before="240" w:after="0"/>
        <w:jc w:val="left"/>
        <w:rPr>
          <w:rFonts w:ascii="Times New Roman" w:hAnsi="Times New Roman"/>
          <w:sz w:val="20"/>
        </w:rPr>
      </w:pPr>
      <w:r>
        <w:rPr>
          <w:rFonts w:ascii="Times New Roman" w:hAnsi="Times New Roman"/>
          <w:sz w:val="20"/>
        </w:rPr>
        <w:t xml:space="preserve">Each Investor Director and Representative shall be deemed to be bound by the provisions of this </w:t>
      </w:r>
      <w:r>
        <w:rPr>
          <w:rFonts w:ascii="Times New Roman" w:hAnsi="Times New Roman"/>
          <w:sz w:val="20"/>
          <w:u w:val="single"/>
        </w:rPr>
        <w:t>Section 1.4(a)</w:t>
      </w:r>
      <w:r>
        <w:rPr>
          <w:rFonts w:ascii="Times New Roman" w:hAnsi="Times New Roman"/>
          <w:sz w:val="20"/>
        </w:rPr>
        <w:t xml:space="preserve"> and the Investor shall be responsible for any breach of this </w:t>
      </w:r>
      <w:r>
        <w:rPr>
          <w:rFonts w:ascii="Times New Roman" w:hAnsi="Times New Roman"/>
          <w:sz w:val="20"/>
          <w:u w:val="single"/>
        </w:rPr>
        <w:t>Section 1.4(a)</w:t>
      </w:r>
      <w:r>
        <w:rPr>
          <w:rFonts w:ascii="Times New Roman" w:hAnsi="Times New Roman"/>
          <w:sz w:val="20"/>
        </w:rPr>
        <w:t xml:space="preserve"> by the Investor Director, any Affiliate of the Investor or any of their respective Representatives to the same extent as if such breach had been committed by the Investor. Notwithstanding the foregoing sentence, each Investor Director, Affiliate of the Investor, and Representative of the Investor Director or any Affiliate of the Investor shall also remain responsible for any breach of this </w:t>
      </w:r>
      <w:r>
        <w:rPr>
          <w:rFonts w:ascii="Times New Roman" w:hAnsi="Times New Roman"/>
          <w:sz w:val="20"/>
          <w:u w:val="single"/>
        </w:rPr>
        <w:t>Section 1.4(a)</w:t>
      </w:r>
      <w:r>
        <w:rPr>
          <w:rFonts w:ascii="Times New Roman" w:hAnsi="Times New Roman"/>
          <w:sz w:val="20"/>
        </w:rPr>
        <w:t xml:space="preserve"> by the Investor Director, any Affiliate of the Investor or any of their respective Representatives. Each of the Investor Director and the Investor shall (and Investor shall cause its Affiliates to) direct their respective Representatives to maintain adequate procedures to prevent any Confidential Information from being used in connection with the purchase or sale of securities of Parent in violation of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Promptly following the written request of Parent made at any time after the Investor ceases to be entitled to designate an Investor Designee pursuant to </w:t>
      </w:r>
      <w:r>
        <w:rPr>
          <w:rFonts w:ascii="Times New Roman" w:hAnsi="Times New Roman"/>
          <w:sz w:val="20"/>
          <w:u w:val="single"/>
        </w:rPr>
        <w:t>Section 1.2</w:t>
      </w:r>
      <w:r>
        <w:rPr>
          <w:rFonts w:ascii="Times New Roman" w:hAnsi="Times New Roman"/>
          <w:sz w:val="20"/>
        </w:rPr>
        <w:t xml:space="preserve">, the Investor shall, and shall cause its Affiliates and Representatives to, at the Investor’s election, return to Parent or destroy all Confidential Information in its or their possession or control, and certify such destruction to Parent upon request; </w:t>
      </w:r>
      <w:r>
        <w:rPr>
          <w:rFonts w:ascii="Times New Roman" w:hAnsi="Times New Roman"/>
          <w:sz w:val="20"/>
          <w:u w:val="single"/>
        </w:rPr>
        <w:t>provided</w:t>
      </w:r>
      <w:r>
        <w:rPr>
          <w:rFonts w:ascii="Times New Roman" w:hAnsi="Times New Roman"/>
          <w:sz w:val="20"/>
        </w:rPr>
        <w:t xml:space="preserve">, that the Investor and its Affiliates and Representatives (i) may retain copies of Confidential Information to the extent required by Applicable Law, professional standards or bona fide internal document-retention or legal-hold policies, and (ii) shall not be required to delete Confidential Information stored on electronic backup or archival systems in the ordinary course;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Confidential Information so retained shall remain subject to the confidentiality obligations of this </w:t>
      </w:r>
      <w:r>
        <w:rPr>
          <w:rFonts w:ascii="Times New Roman" w:hAnsi="Times New Roman"/>
          <w:sz w:val="20"/>
          <w:u w:val="single"/>
        </w:rPr>
        <w:t>Section 1.4</w:t>
      </w:r>
      <w:r>
        <w:rPr>
          <w:rFonts w:ascii="Times New Roman" w:hAnsi="Times New Roman"/>
          <w:sz w:val="20"/>
        </w:rPr>
        <w:t xml:space="preserve"> for so long as it is retained. </w:t>
      </w:r>
    </w:p>
    <w:p>
      <w:pPr>
        <w:pStyle w:val="TextBody"/>
        <w:bidi w:val="0"/>
        <w:spacing w:before="240" w:after="0"/>
        <w:jc w:val="left"/>
        <w:rPr>
          <w:rFonts w:ascii="Times New Roman" w:hAnsi="Times New Roman"/>
          <w:sz w:val="20"/>
        </w:rPr>
      </w:pPr>
      <w:r>
        <w:rPr>
          <w:rFonts w:ascii="Times New Roman" w:hAnsi="Times New Roman"/>
          <w:sz w:val="20"/>
        </w:rPr>
        <w:t xml:space="preserve">(c) This </w:t>
      </w:r>
      <w:r>
        <w:rPr>
          <w:rFonts w:ascii="Times New Roman" w:hAnsi="Times New Roman"/>
          <w:sz w:val="20"/>
          <w:u w:val="single"/>
        </w:rPr>
        <w:t>Section 1.4</w:t>
      </w:r>
      <w:r>
        <w:rPr>
          <w:rFonts w:ascii="Times New Roman" w:hAnsi="Times New Roman"/>
          <w:sz w:val="20"/>
        </w:rPr>
        <w:t xml:space="preserve"> is a material term of this Agreement. In the event the Investor, the Investor Director, any Affiliate of the Investor, or any of their respective Representatives breaches or threatens to breach the obligations set forth in this </w:t>
      </w:r>
      <w:r>
        <w:rPr>
          <w:rFonts w:ascii="Times New Roman" w:hAnsi="Times New Roman"/>
          <w:sz w:val="20"/>
          <w:u w:val="single"/>
        </w:rPr>
        <w:t>Section 1.4</w:t>
      </w:r>
      <w:r>
        <w:rPr>
          <w:rFonts w:ascii="Times New Roman" w:hAnsi="Times New Roman"/>
          <w:sz w:val="20"/>
        </w:rPr>
        <w:t xml:space="preserve">, Parent shall be entitled to injunctive relief preventing a breach or further breach, as well as such compensatory damages as Parent may have sustained, and the Parent’s costs and expenses, including reasonable attorneys’ fees, in connection with any action to enforce the confidentiality of this Agreement, and all other remedies at law or in equity that would otherwise be available to Parent. For the avoidance of doubt, in the event of a breach or threatened breach of the obligations under this </w:t>
      </w:r>
      <w:r>
        <w:rPr>
          <w:rFonts w:ascii="Times New Roman" w:hAnsi="Times New Roman"/>
          <w:sz w:val="20"/>
          <w:u w:val="single"/>
        </w:rPr>
        <w:t>Section 1.4</w:t>
      </w:r>
      <w:r>
        <w:rPr>
          <w:rFonts w:ascii="Times New Roman" w:hAnsi="Times New Roman"/>
          <w:sz w:val="20"/>
        </w:rPr>
        <w:t xml:space="preserve"> by the Investor Director, Investor or any of their respective Representatives, Parent, in addition to all other available remedies, shall be entitled to seek injunctive relief and specific performance to enforce the provisions of this </w:t>
      </w:r>
      <w:r>
        <w:rPr>
          <w:rFonts w:ascii="Times New Roman" w:hAnsi="Times New Roman"/>
          <w:sz w:val="20"/>
          <w:u w:val="single"/>
        </w:rPr>
        <w:t>Section 1.4</w:t>
      </w:r>
      <w:r>
        <w:rPr>
          <w:rFonts w:ascii="Times New Roman" w:hAnsi="Times New Roman"/>
          <w:sz w:val="20"/>
        </w:rPr>
        <w:t xml:space="preserve"> in accordance with </w:t>
      </w:r>
      <w:r>
        <w:rPr>
          <w:rFonts w:ascii="Times New Roman" w:hAnsi="Times New Roman"/>
          <w:sz w:val="20"/>
          <w:u w:val="single"/>
        </w:rPr>
        <w:t>Section 6.9</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1.5 Voting Agreements. </w:t>
      </w:r>
    </w:p>
    <w:p>
      <w:pPr>
        <w:pStyle w:val="TextBody"/>
        <w:bidi w:val="0"/>
        <w:spacing w:before="240" w:after="0"/>
        <w:jc w:val="left"/>
        <w:rPr>
          <w:rFonts w:ascii="Times New Roman" w:hAnsi="Times New Roman"/>
          <w:sz w:val="20"/>
        </w:rPr>
      </w:pPr>
      <w:r>
        <w:rPr>
          <w:rFonts w:ascii="Times New Roman" w:hAnsi="Times New Roman"/>
          <w:sz w:val="20"/>
        </w:rPr>
        <w:t xml:space="preserve">(a) At all times during the Standstill Period and for so long as the Investor Percentage Interest equals or exceeds the Qualifying Threshold, Investor shall, and shall cause each of its Affiliates to, cause all Voting Securities Beneficially Owned by it to be counted as present for purposes of establishing a quorum. </w:t>
      </w:r>
    </w:p>
    <w:p>
      <w:pPr>
        <w:pStyle w:val="TextBody"/>
        <w:bidi w:val="0"/>
        <w:spacing w:before="240" w:after="0"/>
        <w:jc w:val="left"/>
        <w:rPr>
          <w:rFonts w:ascii="Times New Roman" w:hAnsi="Times New Roman"/>
          <w:sz w:val="20"/>
        </w:rPr>
      </w:pPr>
      <w:r>
        <w:rPr>
          <w:rFonts w:ascii="Times New Roman" w:hAnsi="Times New Roman"/>
          <w:sz w:val="20"/>
        </w:rPr>
        <w:t xml:space="preserve">(b) Investor shall, and shall cause each of its Affiliates to, cause all Voting Securities Beneficially Owned by it to be voted by proxy (returned sufficiently in advance of the deadline for proxy voting for Parent to have the reasonable opportunity to verify receipt) on or in accordance with the proxy card mailed by Parent to the stockholders of Parent in connection with the solicitation of any proxy (including, if applicable, through the execution of one or more written consents if stockholders of Parent are requested to vote through the execution of an action by written consent in lieu of any such annual or special meeting of stockholders of Parent), in the following manner: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At all times during the Standstill Period and for so long as the Investor Percentage Interest equals or exceeds the Qualifying Threshold, (A) in favor of all those Persons nominated to serve as directors of Parent by the Parent Board or the Nominations and Corporate Governance Committee of the Parent Board and against the removal of any director unless such removal is recommended by the Parent Board, (B) in favor of Parent’s proposal for ratification of the appointment of Parent’s independent registered public accounting firm, (C) in favor of Parent’s “say-on-pay” proposal and any proposal by Parent relating to equity compensation (including approval of any equity compensation plan or an amendment thereto) that has been approved by the Compensation Committee of the Parent Board and (D) in accordance with the recommendation of the Parent Board with respect to any proposal brought by any stockholder of Parent (including any proposal pursuant to Rule 14a-8 under the Exchange Act), in each case, to the extent such matters are to be voted upon by the stockholders of Parent (including through action by written consent);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the foregoing clauses (C) and (D), the Investor and its Affiliates shall not be required to vote in accordance with this </w:t>
      </w:r>
      <w:r>
        <w:rPr>
          <w:rFonts w:ascii="Times New Roman" w:hAnsi="Times New Roman"/>
          <w:sz w:val="20"/>
          <w:u w:val="single"/>
        </w:rPr>
        <w:t>Section 1.5(b)(i)</w:t>
      </w:r>
      <w:r>
        <w:rPr>
          <w:rFonts w:ascii="Times New Roman" w:hAnsi="Times New Roman"/>
          <w:sz w:val="20"/>
        </w:rPr>
        <w:t xml:space="preserve"> with respect to (1) any matter in which the Investor has a material conflict of interest with Parent or its other stockholders and (2) any amendment to Parent’s articles of incorporation or bylaws that would be materially adverse to Investor’s rights or economic interests in a manner disproportionate to Parent’s other stockholders. </w:t>
      </w:r>
    </w:p>
    <w:p>
      <w:pPr>
        <w:pStyle w:val="TextBody"/>
        <w:bidi w:val="0"/>
        <w:spacing w:before="120" w:after="0"/>
        <w:jc w:val="left"/>
        <w:rPr>
          <w:rFonts w:ascii="Times New Roman" w:hAnsi="Times New Roman"/>
          <w:sz w:val="20"/>
        </w:rPr>
      </w:pPr>
      <w:r>
        <w:rPr>
          <w:rFonts w:ascii="Times New Roman" w:hAnsi="Times New Roman"/>
          <w:sz w:val="20"/>
        </w:rPr>
        <w:t xml:space="preserve">(ii) Except as set forth in </w:t>
      </w:r>
      <w:r>
        <w:rPr>
          <w:rFonts w:ascii="Times New Roman" w:hAnsi="Times New Roman"/>
          <w:sz w:val="20"/>
          <w:u w:val="single"/>
        </w:rPr>
        <w:t>Section 1.5(b)(i)</w:t>
      </w:r>
      <w:r>
        <w:rPr>
          <w:rFonts w:ascii="Times New Roman" w:hAnsi="Times New Roman"/>
          <w:sz w:val="20"/>
        </w:rPr>
        <w:t xml:space="preserve">, none of the Investor, any of its Affiliates, nor any Investor Director shall be under any obligation by virtue of this Agreement to vote in the same manner as recommended by the Parent Board or any other Person, or in any other manner, other than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(c) For the avoidance of doubt, voting rights with respect to any Voting Securities pledged by any Investor Party in accordance with clause (A) of the proviso to the definition of “Transfer” shall remain with the applicable Investor Party until any foreclosure or similar enforcement event with respect thereto, and such Investor Party shall continue to vote (or cause to be voted) such pledged Voting Securities in accordance with this </w:t>
      </w:r>
      <w:r>
        <w:rPr>
          <w:rFonts w:ascii="Times New Roman" w:hAnsi="Times New Roman"/>
          <w:sz w:val="20"/>
          <w:u w:val="single"/>
        </w:rPr>
        <w:t>Section 1.5</w:t>
      </w:r>
      <w:r>
        <w:rPr>
          <w:rFonts w:ascii="Times New Roman" w:hAnsi="Times New Roman"/>
          <w:sz w:val="20"/>
        </w:rPr>
        <w:t xml:space="preserve"> for so long as such voting rights are retained.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TRANSFERS; STANDSTILL </w:t>
      </w:r>
    </w:p>
    <w:p>
      <w:pPr>
        <w:pStyle w:val="TextBody"/>
        <w:bidi w:val="0"/>
        <w:spacing w:before="240" w:after="0"/>
        <w:jc w:val="left"/>
        <w:rPr>
          <w:rFonts w:ascii="Times New Roman" w:hAnsi="Times New Roman"/>
          <w:b/>
          <w:sz w:val="20"/>
        </w:rPr>
      </w:pPr>
      <w:r>
        <w:rPr>
          <w:rFonts w:ascii="Times New Roman" w:hAnsi="Times New Roman"/>
          <w:b/>
          <w:sz w:val="20"/>
        </w:rPr>
        <w:t xml:space="preserve">2.1 Transfer Restrictions. </w:t>
      </w:r>
    </w:p>
    <w:p>
      <w:pPr>
        <w:pStyle w:val="TextBody"/>
        <w:bidi w:val="0"/>
        <w:spacing w:before="240" w:after="0"/>
        <w:jc w:val="left"/>
        <w:rPr>
          <w:rFonts w:ascii="Times New Roman" w:hAnsi="Times New Roman"/>
          <w:sz w:val="20"/>
        </w:rPr>
      </w:pPr>
      <w:r>
        <w:rPr>
          <w:rFonts w:ascii="Times New Roman" w:hAnsi="Times New Roman"/>
          <w:sz w:val="20"/>
        </w:rPr>
        <w:t>(a) Other than in the case of a Permitted Transfer, from the Closing Date to the date that is 360 days from the Closing Date (such period, the “</w:t>
      </w:r>
      <w:r>
        <w:rPr>
          <w:rFonts w:ascii="Times New Roman" w:hAnsi="Times New Roman"/>
          <w:b/>
          <w:sz w:val="20"/>
        </w:rPr>
        <w:t>Restricted Period</w:t>
      </w:r>
      <w:r>
        <w:rPr>
          <w:rFonts w:ascii="Times New Roman" w:hAnsi="Times New Roman"/>
          <w:sz w:val="20"/>
        </w:rPr>
        <w:t xml:space="preserve">”) no Investor Party shall Transfer or publicly announce any intention to Transfer any Voting Securities; </w:t>
      </w:r>
      <w:r>
        <w:rPr>
          <w:rFonts w:ascii="Times New Roman" w:hAnsi="Times New Roman"/>
          <w:sz w:val="20"/>
          <w:u w:val="single"/>
        </w:rPr>
        <w:t>provided</w:t>
      </w:r>
      <w:r>
        <w:rPr>
          <w:rFonts w:ascii="Times New Roman" w:hAnsi="Times New Roman"/>
          <w:sz w:val="20"/>
        </w:rPr>
        <w:t xml:space="preserve"> that the Voting Securities held by the Investor as of the Closing shall be released from, and shall be deemed not to be subject to, the prohibition on Transfer set out in this </w:t>
      </w:r>
      <w:r>
        <w:rPr>
          <w:rFonts w:ascii="Times New Roman" w:hAnsi="Times New Roman"/>
          <w:sz w:val="20"/>
          <w:u w:val="single"/>
        </w:rPr>
        <w:t>Section 2.1(a)</w:t>
      </w:r>
      <w:r>
        <w:rPr>
          <w:rFonts w:ascii="Times New Roman" w:hAnsi="Times New Roman"/>
          <w:sz w:val="20"/>
        </w:rPr>
        <w:t xml:space="preserve"> in three equal installments, with (i) the first installment released on the Initial Release Date, (ii) the second installment released on the date that is 240 days after the Closing Date, and (iii) the third installment released on the date that is 360 days after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Prior to any Transfer of Voting Securities, the Investor Party intending to make such Transfer shall provide written notice to Parent at least five Business Days in advance of such Transfer, which notice shall state (i) the expected date of the Transfer, (ii) the total number of Voting Securities to be transferred and (iii) the identity of the Transferee. For the avoidance of doubt, this </w:t>
      </w:r>
      <w:r>
        <w:rPr>
          <w:rFonts w:ascii="Times New Roman" w:hAnsi="Times New Roman"/>
          <w:sz w:val="20"/>
          <w:u w:val="single"/>
        </w:rPr>
        <w:t>Section 2.1(b)</w:t>
      </w:r>
      <w:r>
        <w:rPr>
          <w:rFonts w:ascii="Times New Roman" w:hAnsi="Times New Roman"/>
          <w:sz w:val="20"/>
        </w:rPr>
        <w:t xml:space="preserve"> shall not apply to any Transfer effected through one or more ordinary course open market transactions pursuant to Rule 144 under the Securities Act or through a bona fide Underwritten Offering pursuant to the registration rights provided in </w:t>
      </w:r>
      <w:r>
        <w:rPr>
          <w:rFonts w:ascii="Times New Roman" w:hAnsi="Times New Roman"/>
          <w:sz w:val="20"/>
          <w:u w:val="single"/>
        </w:rPr>
        <w:t>Article IV</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contained herein, including </w:t>
      </w:r>
      <w:r>
        <w:rPr>
          <w:rFonts w:ascii="Times New Roman" w:hAnsi="Times New Roman"/>
          <w:sz w:val="20"/>
          <w:u w:val="single"/>
        </w:rPr>
        <w:t>Article IV</w:t>
      </w:r>
      <w:r>
        <w:rPr>
          <w:rFonts w:ascii="Times New Roman" w:hAnsi="Times New Roman"/>
          <w:sz w:val="20"/>
        </w:rPr>
        <w:t xml:space="preserve"> hereof and the expiration or inapplicability of the Restricted Period, no Investor Party shall Transfer any Voting Securities: </w:t>
      </w:r>
    </w:p>
    <w:p>
      <w:pPr>
        <w:pStyle w:val="TextBody"/>
        <w:bidi w:val="0"/>
        <w:spacing w:before="120" w:after="0"/>
        <w:jc w:val="left"/>
        <w:rPr>
          <w:rFonts w:ascii="Times New Roman" w:hAnsi="Times New Roman"/>
          <w:sz w:val="20"/>
        </w:rPr>
      </w:pPr>
      <w:r>
        <w:rPr>
          <w:rFonts w:ascii="Times New Roman" w:hAnsi="Times New Roman"/>
          <w:sz w:val="20"/>
        </w:rPr>
        <w:t xml:space="preserve">(i) to any Person or Group that, to such Investor Party’s knowledge (after reasonable inquiry), would Beneficially Own 5% or more of the outstanding Voting Securities after giving effect to such Transfer; or </w:t>
      </w:r>
    </w:p>
    <w:p>
      <w:pPr>
        <w:pStyle w:val="TextBody"/>
        <w:bidi w:val="0"/>
        <w:spacing w:before="120" w:after="0"/>
        <w:jc w:val="left"/>
        <w:rPr>
          <w:rFonts w:ascii="Times New Roman" w:hAnsi="Times New Roman"/>
          <w:sz w:val="20"/>
        </w:rPr>
      </w:pPr>
      <w:r>
        <w:rPr>
          <w:rFonts w:ascii="Times New Roman" w:hAnsi="Times New Roman"/>
          <w:sz w:val="20"/>
        </w:rPr>
        <w:t xml:space="preserve">(ii) to (x) any Activist Stockholder, or (y) any Person identified on </w:t>
      </w:r>
      <w:r>
        <w:rPr>
          <w:rFonts w:ascii="Times New Roman" w:hAnsi="Times New Roman"/>
          <w:sz w:val="20"/>
          <w:u w:val="single"/>
        </w:rPr>
        <w:t>Schedule I</w:t>
      </w:r>
      <w:r>
        <w:rPr>
          <w:rFonts w:ascii="Times New Roman" w:hAnsi="Times New Roman"/>
          <w:sz w:val="20"/>
        </w:rPr>
        <w:t xml:space="preserve"> hereto (or any successor-in-interest to, or any Affiliate of, any such Person); </w:t>
      </w:r>
    </w:p>
    <w:p>
      <w:pPr>
        <w:pStyle w:val="TextBody"/>
        <w:bidi w:val="0"/>
        <w:spacing w:before="240" w:after="0"/>
        <w:jc w:val="left"/>
        <w:rPr>
          <w:rFonts w:ascii="Times New Roman" w:hAnsi="Times New Roman"/>
          <w:sz w:val="20"/>
        </w:rPr>
      </w:pPr>
      <w:r>
        <w:rPr>
          <w:rFonts w:ascii="Times New Roman" w:hAnsi="Times New Roman"/>
          <w:sz w:val="20"/>
        </w:rPr>
        <w:t xml:space="preserve">except, in each case, in a Transfer effected solely through a bona fide Underwritten Offering pursuant to an exercise of the registration rights provided in </w:t>
      </w:r>
      <w:r>
        <w:rPr>
          <w:rFonts w:ascii="Times New Roman" w:hAnsi="Times New Roman"/>
          <w:sz w:val="20"/>
          <w:u w:val="single"/>
        </w:rPr>
        <w:t>Article IV</w:t>
      </w:r>
      <w:r>
        <w:rPr>
          <w:rFonts w:ascii="Times New Roman" w:hAnsi="Times New Roman"/>
          <w:sz w:val="20"/>
        </w:rPr>
        <w:t xml:space="preserve"> of this Agreement (including any “block trade” registered under the Securities Act) or one or more open market transactions pursuant to Rule 144 under the Securities Act, as long as the Investor Party making such Transfer does not have knowledge (after reasonable inquiry) that the Transfer would otherwise violate any of the foregoing restrictions in this </w:t>
      </w:r>
      <w:r>
        <w:rPr>
          <w:rFonts w:ascii="Times New Roman" w:hAnsi="Times New Roman"/>
          <w:sz w:val="20"/>
          <w:u w:val="single"/>
        </w:rPr>
        <w:t>Section 2.1(c)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The restrictions set forth in </w:t>
      </w:r>
      <w:r>
        <w:rPr>
          <w:rFonts w:ascii="Times New Roman" w:hAnsi="Times New Roman"/>
          <w:sz w:val="20"/>
          <w:u w:val="single"/>
        </w:rPr>
        <w:t>Sections 2.1(a)</w:t>
      </w:r>
      <w:r>
        <w:rPr>
          <w:rFonts w:ascii="Times New Roman" w:hAnsi="Times New Roman"/>
          <w:sz w:val="20"/>
        </w:rPr>
        <w:t xml:space="preserve"> and </w:t>
      </w:r>
      <w:r>
        <w:rPr>
          <w:rFonts w:ascii="Times New Roman" w:hAnsi="Times New Roman"/>
          <w:sz w:val="20"/>
          <w:u w:val="single"/>
        </w:rPr>
        <w:t>2.1(c)</w:t>
      </w:r>
      <w:r>
        <w:rPr>
          <w:rFonts w:ascii="Times New Roman" w:hAnsi="Times New Roman"/>
          <w:sz w:val="20"/>
        </w:rPr>
        <w:t xml:space="preserve"> shall not apply to Transfers of Voting Securities (i) to Parent or its Subsidiaries, (ii) in any tender offer or exchange offer that has been at any time recommended by, or approved by, the Parent Board or (iii) pursuant to any sale, merger, consolidation, acquisition (including by way of tender offer or exchange offer or share exchange), recapitalization or other business combination in one or a series of related transactions (A) involving Parent or any of its Affiliates pursuant to which more than 50% of the Voting Securities or the consolidated total assets of Parent and its Affiliates, taken as a whole, would be acquired or received by any Person (other than Parent or its Subsidiaries) or (B) involving the Investor or any Affiliate of the Investor pursuant to which more than 50% of the consolidated total assets of the Investor and its Affiliates, taken as a whole, would be acquired or received by any Person (other than the Investor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(e) The Investor shall provide written notification to Parent within five Business Days after the end of each calendar quarter in which any Investor Party has transferred any Voting Securities, setting forth the number of Voting Securities transferred by the Investor Parties during such quarter and (other than in the case of a Transfer effected solely through a bona fide Underwritten Offering pursuant to an exercise of the registration rights provided in </w:t>
      </w:r>
      <w:r>
        <w:rPr>
          <w:rFonts w:ascii="Times New Roman" w:hAnsi="Times New Roman"/>
          <w:sz w:val="20"/>
          <w:u w:val="single"/>
        </w:rPr>
        <w:t>Article IV</w:t>
      </w:r>
      <w:r>
        <w:rPr>
          <w:rFonts w:ascii="Times New Roman" w:hAnsi="Times New Roman"/>
          <w:sz w:val="20"/>
        </w:rPr>
        <w:t xml:space="preserve"> (including any “block trade” registered under the Securities Act) or one or more open market transactions pursuant to Rule 144 under the Securities Act in which the identity of the Transferees is not reasonably ascertainable) the identity of any Transferee; </w:t>
      </w:r>
      <w:r>
        <w:rPr>
          <w:rFonts w:ascii="Times New Roman" w:hAnsi="Times New Roman"/>
          <w:sz w:val="20"/>
          <w:u w:val="single"/>
        </w:rPr>
        <w:t>provided</w:t>
      </w:r>
      <w:r>
        <w:rPr>
          <w:rFonts w:ascii="Times New Roman" w:hAnsi="Times New Roman"/>
          <w:sz w:val="20"/>
        </w:rPr>
        <w:t xml:space="preserve">, that any public disclosure (including pursuant to the Exchange Act or the Securities Act) regarding a Transfer will be deemed to have satisfied such notification obligations pursuant to this sentence with respect to such Transfer. </w:t>
      </w:r>
    </w:p>
    <w:p>
      <w:pPr>
        <w:pStyle w:val="TextBody"/>
        <w:bidi w:val="0"/>
        <w:spacing w:before="240" w:after="0"/>
        <w:jc w:val="left"/>
        <w:rPr>
          <w:rFonts w:ascii="Times New Roman" w:hAnsi="Times New Roman"/>
          <w:sz w:val="20"/>
        </w:rPr>
      </w:pPr>
      <w:r>
        <w:rPr>
          <w:rFonts w:ascii="Times New Roman" w:hAnsi="Times New Roman"/>
          <w:sz w:val="20"/>
        </w:rPr>
        <w:t xml:space="preserve">(f) The right of any Investor Party to Transfer Voting Securities Beneficially Owned by such Person is subject to the restrictions set forth in this </w:t>
      </w:r>
      <w:r>
        <w:rPr>
          <w:rFonts w:ascii="Times New Roman" w:hAnsi="Times New Roman"/>
          <w:sz w:val="20"/>
          <w:u w:val="single"/>
        </w:rPr>
        <w:t>Section 2.1</w:t>
      </w:r>
      <w:r>
        <w:rPr>
          <w:rFonts w:ascii="Times New Roman" w:hAnsi="Times New Roman"/>
          <w:sz w:val="20"/>
        </w:rPr>
        <w:t xml:space="preserve">, and no Transfer by any Person of Voting Securities Beneficially Owned by such Person may be effected except in compliance with this </w:t>
      </w:r>
      <w:r>
        <w:rPr>
          <w:rFonts w:ascii="Times New Roman" w:hAnsi="Times New Roman"/>
          <w:sz w:val="20"/>
          <w:u w:val="single"/>
        </w:rPr>
        <w:t>Section 2.1</w:t>
      </w:r>
      <w:r>
        <w:rPr>
          <w:rFonts w:ascii="Times New Roman" w:hAnsi="Times New Roman"/>
          <w:sz w:val="20"/>
        </w:rPr>
        <w:t xml:space="preserve">. Any Transfer or attempted Transfer of Voting Securities in violation of this Agreement shall be of no effect and null and void </w:t>
      </w:r>
      <w:r>
        <w:rPr>
          <w:rFonts w:ascii="Times New Roman" w:hAnsi="Times New Roman"/>
          <w:i/>
          <w:sz w:val="20"/>
        </w:rPr>
        <w:t>ab initio</w:t>
      </w:r>
      <w:r>
        <w:rPr>
          <w:rFonts w:ascii="Times New Roman" w:hAnsi="Times New Roman"/>
          <w:sz w:val="20"/>
        </w:rPr>
        <w:t xml:space="preserve">, regardless of whether the purported Transferee has any actual or constructive knowledge of the Transfer restrictions set forth in this Agreement, and Parent shall not, and shall instruct its transfer agent and other third parties not to, record or recognize any such purported transaction on the share register of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For the avoidance of doubt, but subject to the other terms and conditions of this Agreement (including the Standstill Cap and </w:t>
      </w:r>
      <w:r>
        <w:rPr>
          <w:rFonts w:ascii="Times New Roman" w:hAnsi="Times New Roman"/>
          <w:sz w:val="20"/>
          <w:u w:val="single"/>
        </w:rPr>
        <w:t>Section 2.2(a),</w:t>
      </w:r>
      <w:r>
        <w:rPr>
          <w:rFonts w:ascii="Times New Roman" w:hAnsi="Times New Roman"/>
          <w:sz w:val="20"/>
        </w:rPr>
        <w:t xml:space="preserve"> in each case solely during the Standstill Period), nothing in this Agreement shall prohibit or limit the ability of any Investor Director to Transfer any Voting Securities or other Equity Interests of Parent to the Investor or any of its Affiliates. </w:t>
      </w:r>
    </w:p>
    <w:p>
      <w:pPr>
        <w:pStyle w:val="TextBody"/>
        <w:bidi w:val="0"/>
        <w:spacing w:before="240" w:after="0"/>
        <w:jc w:val="left"/>
        <w:rPr>
          <w:rFonts w:ascii="Times New Roman" w:hAnsi="Times New Roman"/>
          <w:b/>
          <w:sz w:val="20"/>
        </w:rPr>
      </w:pPr>
      <w:r>
        <w:rPr>
          <w:rFonts w:ascii="Times New Roman" w:hAnsi="Times New Roman"/>
          <w:b/>
          <w:sz w:val="20"/>
        </w:rPr>
        <w:t xml:space="preserve">2.2 Standstill Provisions. </w:t>
      </w:r>
    </w:p>
    <w:p>
      <w:pPr>
        <w:pStyle w:val="TextBody"/>
        <w:bidi w:val="0"/>
        <w:spacing w:before="240" w:after="0"/>
        <w:jc w:val="left"/>
        <w:rPr>
          <w:rFonts w:ascii="Times New Roman" w:hAnsi="Times New Roman"/>
          <w:sz w:val="20"/>
        </w:rPr>
      </w:pPr>
      <w:r>
        <w:rPr>
          <w:rFonts w:ascii="Times New Roman" w:hAnsi="Times New Roman"/>
          <w:sz w:val="20"/>
        </w:rPr>
        <w:t xml:space="preserve">(a) From the Closing Date until the termination of the Standstill Period, neither the Investor nor any of its Affiliates shall (or shall permit any of their respective Representatives, acting on behalf of or at the direction of any of them), directly or indirectly: </w:t>
      </w:r>
    </w:p>
    <w:p>
      <w:pPr>
        <w:pStyle w:val="TextBody"/>
        <w:bidi w:val="0"/>
        <w:spacing w:before="120" w:after="0"/>
        <w:jc w:val="left"/>
        <w:rPr>
          <w:rFonts w:ascii="Times New Roman" w:hAnsi="Times New Roman"/>
          <w:sz w:val="20"/>
        </w:rPr>
      </w:pPr>
      <w:r>
        <w:rPr>
          <w:rFonts w:ascii="Times New Roman" w:hAnsi="Times New Roman"/>
          <w:sz w:val="20"/>
        </w:rPr>
        <w:t xml:space="preserve">(i) acquire, agree to acquire, propose or offer to acquire, facilitate the acquisition or ownership of, or solicit the acquisition of, by purchase, tender or exchange offer, through the acquisition of control of another Person (including by way of merger or consolidation), by joining a partnership, syndicate or other Group, through the use of a derivative instrument or voting agreement, or otherwise, Beneficial Ownership of any Voting Securities, or securities of Parent that are convertible, exchangeable or exercisable into Voting Securities, or any material assets or businesses of Parent or any of its Subsidiaries, other than (A) as a result of any stock split, stock dividend, subdivision, recapitalization or similar reorganization of Voting Securities effected by Parent, or (B) as a result of issuances by Parent of Voting Securities or options, warrants or other rights to acquire Voting Securities (or the exercise thereof) to any Investor Director as compensation for his or her membership on the Parent Board (including any Transfer thereof to the Investor or any of its Affiliates); </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sz w:val="20"/>
          <w:u w:val="single"/>
        </w:rPr>
        <w:t>Section 2.2(a)(i)</w:t>
      </w:r>
      <w:r>
        <w:rPr>
          <w:rFonts w:ascii="Times New Roman" w:hAnsi="Times New Roman"/>
          <w:sz w:val="20"/>
        </w:rPr>
        <w:t xml:space="preserve"> shall not prohibit any Investor Party from acquiring Beneficial Ownership of Voting Securities so long as the Investor Percentage Interest does not, as a result of and after giving effect to such acquisition (and taking into account all Voting Securities Beneficially Owned by the Investor Parties, including those Beneficially Owned as of the Closing), exceed the Standstill Cap (unless the Parent Board has given its prior written consent to such acquisition); </w:t>
      </w:r>
    </w:p>
    <w:p>
      <w:pPr>
        <w:pStyle w:val="TextBody"/>
        <w:bidi w:val="0"/>
        <w:spacing w:before="120" w:after="0"/>
        <w:jc w:val="left"/>
        <w:rPr>
          <w:rFonts w:ascii="Times New Roman" w:hAnsi="Times New Roman"/>
          <w:sz w:val="20"/>
        </w:rPr>
      </w:pPr>
      <w:r>
        <w:rPr>
          <w:rFonts w:ascii="Times New Roman" w:hAnsi="Times New Roman"/>
          <w:sz w:val="20"/>
        </w:rPr>
        <w:t xml:space="preserve">(ii) deposit any Voting Securities into a voting trust or similar Contract or subject any Voting Securities to any voting agreement, pooling arrangement or similar arrangement or other Contract, or grant any proxy with respect to any Voting Securities (other than to Parent or a Person specified by Parent in a proxy card provided to stockholders of Parent by or on behalf of Parent); </w:t>
      </w:r>
    </w:p>
    <w:p>
      <w:pPr>
        <w:pStyle w:val="TextBody"/>
        <w:bidi w:val="0"/>
        <w:spacing w:before="120" w:after="0"/>
        <w:jc w:val="left"/>
        <w:rPr>
          <w:rFonts w:ascii="Times New Roman" w:hAnsi="Times New Roman"/>
          <w:sz w:val="20"/>
        </w:rPr>
      </w:pPr>
      <w:r>
        <w:rPr>
          <w:rFonts w:ascii="Times New Roman" w:hAnsi="Times New Roman"/>
          <w:sz w:val="20"/>
        </w:rPr>
        <w:t xml:space="preserve">(iii) enter into, or agree, offer, propose or seek to enter into, any swap, hedging or other derivative, synthetic or similar transaction or arrangement that gives the Investor or any of its Affiliates the economic equivalent of ownership of any Voting Securities, in each case whether or not any such transaction (A) conveys or confers any voting rights or voting power, (B) is required to be, or is capable of being, settled by delivery of Voting Securities or in cash or (C) is entered into in the ordinary course; </w:t>
      </w:r>
    </w:p>
    <w:p>
      <w:pPr>
        <w:pStyle w:val="TextBody"/>
        <w:bidi w:val="0"/>
        <w:spacing w:before="120" w:after="0"/>
        <w:jc w:val="left"/>
        <w:rPr>
          <w:rFonts w:ascii="Times New Roman" w:hAnsi="Times New Roman"/>
          <w:sz w:val="20"/>
        </w:rPr>
      </w:pPr>
      <w:r>
        <w:rPr>
          <w:rFonts w:ascii="Times New Roman" w:hAnsi="Times New Roman"/>
          <w:sz w:val="20"/>
        </w:rPr>
        <w:t xml:space="preserve">(iv) enter, agree to enter, publicly propose or offer to enter into, or make any public announcement with respect to, any merger, business combination, recapitalization, restructuring, change in control transaction, sale of all or a material portion of the assets of Parent or any of its Subsidiaries or other similar extraordinary transaction involving Parent or any of its Subsidiaries (unless such transaction is affirmatively publicly recommended by the Parent Board and there has otherwise been no breach of this </w:t>
      </w:r>
      <w:r>
        <w:rPr>
          <w:rFonts w:ascii="Times New Roman" w:hAnsi="Times New Roman"/>
          <w:sz w:val="20"/>
          <w:u w:val="single"/>
        </w:rPr>
        <w:t>Section 2.2</w:t>
      </w:r>
      <w:r>
        <w:rPr>
          <w:rFonts w:ascii="Times New Roman" w:hAnsi="Times New Roman"/>
          <w:sz w:val="20"/>
        </w:rPr>
        <w:t xml:space="preserve"> in connection with or relating to such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make, or knowingly facilitate, encourage or otherwise participate or engage in, any “solicitation” of “proxies” (as such terms are used in the proxy rules of the Commission) to vote, or advise or knowingly influence any Person with respect to the voting of, any Voting Securities; </w:t>
      </w:r>
    </w:p>
    <w:p>
      <w:pPr>
        <w:pStyle w:val="TextBody"/>
        <w:bidi w:val="0"/>
        <w:spacing w:before="120" w:after="0"/>
        <w:jc w:val="left"/>
        <w:rPr>
          <w:rFonts w:ascii="Times New Roman" w:hAnsi="Times New Roman"/>
          <w:sz w:val="20"/>
        </w:rPr>
      </w:pPr>
      <w:r>
        <w:rPr>
          <w:rFonts w:ascii="Times New Roman" w:hAnsi="Times New Roman"/>
          <w:sz w:val="20"/>
        </w:rPr>
        <w:t xml:space="preserve">(vi) call, or seek to call, a meeting of the stockholders of Parent or initiate any stockholder proposal for action by stockholders of Parent, including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(vii) form, join or participate in a Group (other than a Group which consists solely of the Investor and one or more of its Affiliates), with respect to any Voting Securities; </w:t>
      </w:r>
    </w:p>
    <w:p>
      <w:pPr>
        <w:pStyle w:val="TextBody"/>
        <w:bidi w:val="0"/>
        <w:spacing w:before="120" w:after="0"/>
        <w:jc w:val="left"/>
        <w:rPr>
          <w:rFonts w:ascii="Times New Roman" w:hAnsi="Times New Roman"/>
          <w:sz w:val="20"/>
        </w:rPr>
      </w:pPr>
      <w:r>
        <w:rPr>
          <w:rFonts w:ascii="Times New Roman" w:hAnsi="Times New Roman"/>
          <w:sz w:val="20"/>
        </w:rPr>
        <w:t xml:space="preserve">(viii) (A) seek representation on, or nominate any candidate to, the Parent Board, except as expressly permitted by this Agreement, or (B) seek or knowingly encourage the removal of any member of the Parent Board; </w:t>
      </w:r>
    </w:p>
    <w:p>
      <w:pPr>
        <w:pStyle w:val="TextBody"/>
        <w:bidi w:val="0"/>
        <w:spacing w:before="120" w:after="0"/>
        <w:jc w:val="left"/>
        <w:rPr>
          <w:rFonts w:ascii="Times New Roman" w:hAnsi="Times New Roman"/>
          <w:sz w:val="20"/>
        </w:rPr>
      </w:pPr>
      <w:r>
        <w:rPr>
          <w:rFonts w:ascii="Times New Roman" w:hAnsi="Times New Roman"/>
          <w:sz w:val="20"/>
        </w:rPr>
        <w:t xml:space="preserve">(ix) take any action in support of or make any proposal or request that relates to (A) any change in the number, term or composition of the Parent Board, or the removal of any director or the filling of any vacancy (except as expressly permitted by this Agreement), (B) any material change in the capital structure or capital allocation policies of Parent, (C) any other material change in Parent’s management, business or corporate structure, (D) any waiver of or amendment to Parent’s articles of incorporation or bylaws, (E) causing a class of securities of Parent to be delisted from, or to cease to be authorized to be quoted on, any securities exchange, or (F) causing any class of Parent’s securities to become eligible for termination of registration under Section 12(g)(4) of the Exchange Act; </w:t>
      </w:r>
    </w:p>
    <w:p>
      <w:pPr>
        <w:pStyle w:val="TextBody"/>
        <w:bidi w:val="0"/>
        <w:spacing w:before="120" w:after="0"/>
        <w:jc w:val="left"/>
        <w:rPr>
          <w:rFonts w:ascii="Times New Roman" w:hAnsi="Times New Roman"/>
          <w:sz w:val="20"/>
        </w:rPr>
      </w:pPr>
      <w:r>
        <w:rPr>
          <w:rFonts w:ascii="Times New Roman" w:hAnsi="Times New Roman"/>
          <w:sz w:val="20"/>
        </w:rPr>
        <w:t>(x) otherwise act or seek, alone or in concert with others, to acquire or otherwise make any effort to obtain control of Parent, or control or influence the management or the policies of Parent (</w:t>
      </w:r>
      <w:r>
        <w:rPr>
          <w:rFonts w:ascii="Times New Roman" w:hAnsi="Times New Roman"/>
          <w:sz w:val="20"/>
          <w:u w:val="single"/>
        </w:rPr>
        <w:t>provided</w:t>
      </w:r>
      <w:r>
        <w:rPr>
          <w:rFonts w:ascii="Times New Roman" w:hAnsi="Times New Roman"/>
          <w:sz w:val="20"/>
        </w:rPr>
        <w:t xml:space="preserve">, that this clause (x) shall in no way limit the activities of any Investor Director taken in good faith in his or her capacity as a director); </w:t>
      </w:r>
    </w:p>
    <w:p>
      <w:pPr>
        <w:pStyle w:val="TextBody"/>
        <w:bidi w:val="0"/>
        <w:spacing w:before="120" w:after="0"/>
        <w:jc w:val="left"/>
        <w:rPr>
          <w:rFonts w:ascii="Times New Roman" w:hAnsi="Times New Roman"/>
          <w:sz w:val="20"/>
        </w:rPr>
      </w:pPr>
      <w:r>
        <w:rPr>
          <w:rFonts w:ascii="Times New Roman" w:hAnsi="Times New Roman"/>
          <w:sz w:val="20"/>
        </w:rPr>
        <w:t xml:space="preserve">(xi) sell, offer or agree to sell, directly or indirectly, through swap or hedging transactions or otherwise, voting rights decoupled from the underlying Voting Securities to any third party; </w:t>
      </w:r>
    </w:p>
    <w:p>
      <w:pPr>
        <w:pStyle w:val="TextBody"/>
        <w:bidi w:val="0"/>
        <w:spacing w:before="120" w:after="0"/>
        <w:jc w:val="left"/>
        <w:rPr>
          <w:rFonts w:ascii="Times New Roman" w:hAnsi="Times New Roman"/>
          <w:sz w:val="20"/>
        </w:rPr>
      </w:pPr>
      <w:r>
        <w:rPr>
          <w:rFonts w:ascii="Times New Roman" w:hAnsi="Times New Roman"/>
          <w:sz w:val="20"/>
        </w:rPr>
        <w:t xml:space="preserve">(xii) advise, assist, knowingly encourage, knowingly act as a financing source for, or enter into any discussions, negotiations, agreements, or arrangements or other Contracts with or otherwise knowingly invest in any other Person in connection with any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(xiii) (A) commence or knowingly encourage or support any derivative action in the name of Parent, or any class action against Parent or any of its current or former directors or officers, or (B) institute, solicit, join (as a party) or knowingly assist or encourage any litigation, arbitration or other proceeding challenging the validity or enforceability of any provision of this </w:t>
      </w:r>
      <w:r>
        <w:rPr>
          <w:rFonts w:ascii="Times New Roman" w:hAnsi="Times New Roman"/>
          <w:sz w:val="20"/>
          <w:u w:val="single"/>
        </w:rPr>
        <w:t>Section 2.2</w:t>
      </w:r>
      <w:r>
        <w:rPr>
          <w:rFonts w:ascii="Times New Roman" w:hAnsi="Times New Roman"/>
          <w:sz w:val="20"/>
        </w:rPr>
        <w:t xml:space="preserve"> (including this </w:t>
      </w:r>
      <w:r>
        <w:rPr>
          <w:rFonts w:ascii="Times New Roman" w:hAnsi="Times New Roman"/>
          <w:sz w:val="20"/>
          <w:u w:val="single"/>
        </w:rPr>
        <w:t>Section 2.2(a)(xiii)</w:t>
      </w:r>
      <w:r>
        <w:rPr>
          <w:rFonts w:ascii="Times New Roman" w:hAnsi="Times New Roman"/>
          <w:sz w:val="20"/>
        </w:rPr>
        <w:t xml:space="preserve">),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case (with respect to both clause (A) and clause (B)) other than (1) litigation to enforce the provisions of this Agreement, (2) counterclaims with respect to any proceeding initiated by, or on behalf of, Parent or its Affiliates against any Investor Party, and (3) bona fide commercial disputes that do not relate to the subject matter of this Agreement; and </w:t>
      </w:r>
    </w:p>
    <w:p>
      <w:pPr>
        <w:pStyle w:val="TextBody"/>
        <w:bidi w:val="0"/>
        <w:spacing w:before="120" w:after="0"/>
        <w:jc w:val="left"/>
        <w:rPr>
          <w:rFonts w:ascii="Times New Roman" w:hAnsi="Times New Roman"/>
          <w:sz w:val="20"/>
        </w:rPr>
      </w:pPr>
      <w:r>
        <w:rPr>
          <w:rFonts w:ascii="Times New Roman" w:hAnsi="Times New Roman"/>
          <w:sz w:val="20"/>
        </w:rPr>
        <w:t xml:space="preserve">(xiv) publicly disclose any intention, plan, arrangement or other Contract prohibited by, or inconsistent with, the foregoing;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notwithstanding anything to the contrary in this </w:t>
      </w:r>
      <w:r>
        <w:rPr>
          <w:rFonts w:ascii="Times New Roman" w:hAnsi="Times New Roman"/>
          <w:sz w:val="20"/>
          <w:u w:val="single"/>
        </w:rPr>
        <w:t>Section 2.2(a)</w:t>
      </w:r>
      <w:r>
        <w:rPr>
          <w:rFonts w:ascii="Times New Roman" w:hAnsi="Times New Roman"/>
          <w:sz w:val="20"/>
        </w:rPr>
        <w:t xml:space="preserve">, (1) the Investor and any of its Affiliates may at any time (A) initiate and engage in private discussions with, and submit non-public, confidential proposals to, the Parent Board (or any committee or other designee thereof) or (B) make a confidential request to Parent seeking an amendment or waiver of this </w:t>
      </w:r>
      <w:r>
        <w:rPr>
          <w:rFonts w:ascii="Times New Roman" w:hAnsi="Times New Roman"/>
          <w:sz w:val="20"/>
          <w:u w:val="single"/>
        </w:rPr>
        <w:t>Section 2.2(a)</w:t>
      </w:r>
      <w:r>
        <w:rPr>
          <w:rFonts w:ascii="Times New Roman" w:hAnsi="Times New Roman"/>
          <w:sz w:val="20"/>
        </w:rPr>
        <w:t xml:space="preserve">, in each case so long as such proposals or requests do not require public disclosure and the making of such proposal or request would not reasonably be expected to require Parent to make a public announcement of its receipt and (2) for the avoidance of doubt, (A) (x) the consummation of the transactions contemplated by the Merger Agreement and (y) the Investor’s exercise of its rights or the performance of its obligations under any other Transaction Document shall not be deemed violations of this </w:t>
      </w:r>
      <w:r>
        <w:rPr>
          <w:rFonts w:ascii="Times New Roman" w:hAnsi="Times New Roman"/>
          <w:sz w:val="20"/>
          <w:u w:val="single"/>
        </w:rPr>
        <w:t>Section 2.2(a)</w:t>
      </w:r>
      <w:r>
        <w:rPr>
          <w:rFonts w:ascii="Times New Roman" w:hAnsi="Times New Roman"/>
          <w:sz w:val="20"/>
        </w:rPr>
        <w:t xml:space="preserve"> and (B) nothing in this </w:t>
      </w:r>
      <w:r>
        <w:rPr>
          <w:rFonts w:ascii="Times New Roman" w:hAnsi="Times New Roman"/>
          <w:sz w:val="20"/>
          <w:u w:val="single"/>
        </w:rPr>
        <w:t>Section 2.2(a)</w:t>
      </w:r>
      <w:r>
        <w:rPr>
          <w:rFonts w:ascii="Times New Roman" w:hAnsi="Times New Roman"/>
          <w:sz w:val="20"/>
        </w:rPr>
        <w:t xml:space="preserve"> shall limit the ability of any Investor Director to take any action in such Investor Director’s capacity as a member of the Parent Board (or any committee thereof). </w:t>
      </w:r>
    </w:p>
    <w:p>
      <w:pPr>
        <w:pStyle w:val="TextBody"/>
        <w:bidi w:val="0"/>
        <w:spacing w:before="240" w:after="0"/>
        <w:jc w:val="left"/>
        <w:rPr>
          <w:rFonts w:ascii="Times New Roman" w:hAnsi="Times New Roman"/>
          <w:sz w:val="20"/>
        </w:rPr>
      </w:pPr>
      <w:r>
        <w:rPr>
          <w:rFonts w:ascii="Times New Roman" w:hAnsi="Times New Roman"/>
          <w:sz w:val="20"/>
        </w:rPr>
        <w:t xml:space="preserve">(b) The Investor further agrees that, during the Standstill Period, neither the Investor nor any of its Affiliates shall (or shall permit any of their respective Representatives, acting on behalf of or at the direction of any of them), directly or indirectly (x) publicly request Parent to amend or waive any provision of this </w:t>
      </w:r>
      <w:r>
        <w:rPr>
          <w:rFonts w:ascii="Times New Roman" w:hAnsi="Times New Roman"/>
          <w:sz w:val="20"/>
          <w:u w:val="single"/>
        </w:rPr>
        <w:t>Section 2.2</w:t>
      </w:r>
      <w:r>
        <w:rPr>
          <w:rFonts w:ascii="Times New Roman" w:hAnsi="Times New Roman"/>
          <w:sz w:val="20"/>
        </w:rPr>
        <w:t xml:space="preserve"> (including this sentence) or (y) take any action that would reasonably be expected to require Parent to make a public announcement regarding the possibility of a business combination, merger or other type of transaction or any other matter described in this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the foregoing, this </w:t>
      </w:r>
      <w:r>
        <w:rPr>
          <w:rFonts w:ascii="Times New Roman" w:hAnsi="Times New Roman"/>
          <w:sz w:val="20"/>
          <w:u w:val="single"/>
        </w:rPr>
        <w:t>Section 2.2</w:t>
      </w:r>
      <w:r>
        <w:rPr>
          <w:rFonts w:ascii="Times New Roman" w:hAnsi="Times New Roman"/>
          <w:sz w:val="20"/>
        </w:rPr>
        <w:t xml:space="preserve"> shall not prevent, limit or affect in any manner whatsoever, the Investor from designating any Investor Designee in accordance with this Agreement or taking any action to cause such Investor Designee to be appointed to the Parent Board. </w:t>
      </w:r>
    </w:p>
    <w:p>
      <w:pPr>
        <w:pStyle w:val="TextBody"/>
        <w:bidi w:val="0"/>
        <w:spacing w:before="240" w:after="0"/>
        <w:jc w:val="left"/>
        <w:rPr>
          <w:rFonts w:ascii="Times New Roman" w:hAnsi="Times New Roman"/>
          <w:sz w:val="20"/>
        </w:rPr>
      </w:pPr>
      <w:r>
        <w:rPr>
          <w:rFonts w:ascii="Times New Roman" w:hAnsi="Times New Roman"/>
          <w:b/>
          <w:sz w:val="20"/>
        </w:rPr>
        <w:t>2.3</w:t>
      </w:r>
      <w:r>
        <w:rPr>
          <w:rFonts w:ascii="Times New Roman" w:hAnsi="Times New Roman"/>
          <w:sz w:val="20"/>
        </w:rPr>
        <w:t xml:space="preserve"> </w:t>
      </w:r>
      <w:r>
        <w:rPr>
          <w:rFonts w:ascii="Times New Roman" w:hAnsi="Times New Roman"/>
          <w:b/>
          <w:sz w:val="20"/>
        </w:rPr>
        <w:t>Section 16 Matters</w:t>
      </w:r>
      <w:r>
        <w:rPr>
          <w:rFonts w:ascii="Times New Roman" w:hAnsi="Times New Roman"/>
          <w:sz w:val="20"/>
        </w:rPr>
        <w:t xml:space="preserve">. If Parent becomes a party to a consolidation, merger or other similar transaction that may result in the Investor, any of its Affiliates or any Investor Director being deemed to have made a disposition of Equity Interests of Parent or derivatives thereof for purposes of Section 16 of the Exchange Act, and if any Investor Director is serving on the Parent Board at such time or has served on the Parent Board during the preceding six months (i) the Parent Board will pre-approve such disposition of Equity Interests or derivatives thereof for the express purpose of exempting the Investor’s, its Affiliates’ and any Investor Director’s (to the extent the Investor or its Affiliates may be deemed to be “directors by deputization”) interests in such transaction from Section 16(b) of the Exchange Act pursuant to Rule 16b-3 thereunder and (ii) if the transaction involves (A) a merger or consolidation to which Parent is a party and the Equity Interests in Parent are, in whole or in part, converted into or exchanged for Equity Interests of a different issuer, (B) a potential acquisition by the Investor, any of its Affiliates, or any Investor Director of Equity Interests of such other issuer or derivatives thereof and (C) an Affiliate or other designee of the Investor or its Affiliates will serve on the board of directors (or its equivalent) of such other issuer, then if Parent requires that the other issuer pre-approve any acquisition of Equity Interests or derivatives thereof for the express purpose of exempting the interests of any director or officer of Parent or any of its Subsidiaries in such transactions from Section 16(b) of the Exchange Act pursuant to Rule 16b-3 thereunder, Parent shall require that such other issuer pre-approve any such acquisitions of Equity Interests or derivatives thereof for the express purpose of exempting the Investor’s, its Affiliates’ and any Investor Director’s (for the Investor and its Affiliates, to the extent such Persons may be deemed to be “directors by deputization” of such other issuer) interests in such transactions from Section 16(b) of the Exchange Act pursuant to Rule 16b-3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b/>
          <w:sz w:val="20"/>
        </w:rPr>
        <w:t>3.1</w:t>
      </w:r>
      <w:r>
        <w:rPr>
          <w:rFonts w:ascii="Times New Roman" w:hAnsi="Times New Roman"/>
          <w:sz w:val="20"/>
        </w:rPr>
        <w:t xml:space="preserve"> </w:t>
      </w:r>
      <w:r>
        <w:rPr>
          <w:rFonts w:ascii="Times New Roman" w:hAnsi="Times New Roman"/>
          <w:b/>
          <w:sz w:val="20"/>
        </w:rPr>
        <w:t>Representations and Warranties of the Investor</w:t>
      </w:r>
      <w:r>
        <w:rPr>
          <w:rFonts w:ascii="Times New Roman" w:hAnsi="Times New Roman"/>
          <w:sz w:val="20"/>
        </w:rPr>
        <w:t xml:space="preserve">. The Investor hereby represents and warrants to Parent as follows: </w:t>
      </w:r>
    </w:p>
    <w:p>
      <w:pPr>
        <w:pStyle w:val="TextBody"/>
        <w:bidi w:val="0"/>
        <w:spacing w:before="240" w:after="0"/>
        <w:jc w:val="left"/>
        <w:rPr>
          <w:rFonts w:ascii="Times New Roman" w:hAnsi="Times New Roman"/>
          <w:sz w:val="20"/>
        </w:rPr>
      </w:pPr>
      <w:r>
        <w:rPr>
          <w:rFonts w:ascii="Times New Roman" w:hAnsi="Times New Roman"/>
          <w:sz w:val="20"/>
        </w:rPr>
        <w:t xml:space="preserve">(a) The Investor is duly organized, validly existing and in good standing under the laws of the jurisdiction of its organization. The Investor has all requisite power and authority to execute and deliver this Agreement and to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The execution and delivery by the Investor of this Agreement and the performance by the Investor of its obligations under this Agreement do not and will not conflict with or violate any provision of, or require the consent or approval of any Person (except for any such consents or approvals which have been obtained) under, (x) Applicable Law, (y) its organizational documents or (z) any material Contract or agreement to which it is a party. </w:t>
      </w:r>
    </w:p>
    <w:p>
      <w:pPr>
        <w:pStyle w:val="TextBody"/>
        <w:bidi w:val="0"/>
        <w:spacing w:before="240" w:after="0"/>
        <w:jc w:val="left"/>
        <w:rPr>
          <w:rFonts w:ascii="Times New Roman" w:hAnsi="Times New Roman"/>
          <w:sz w:val="20"/>
        </w:rPr>
      </w:pPr>
      <w:r>
        <w:rPr>
          <w:rFonts w:ascii="Times New Roman" w:hAnsi="Times New Roman"/>
          <w:sz w:val="20"/>
        </w:rPr>
        <w:t xml:space="preserve">(c) The execution and delivery by the Investor of this Agreement and the performance by the Investor of its obligations under this Agreement have been duly authorized by all necessary corporate or other analogous action on its part and do not require any corporate or other action on the part of any trustee or beneficial or record owner of any Equity Interest in it, other than those which have been obtained prior to the date hereof and are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(d) This Agreement has been duly executed and delivered by the Investor and, assuming the due authorization, execution and delivery by the other parties hereto, constitutes a legal, valid and binding obligation of the Investor, enforceable against the Investor in accordance with its terms, subject to bankruptcy, insolvency and other laws of general applicability relating to or affecting creditors’ rights and to general principles of equity. </w:t>
      </w:r>
    </w:p>
    <w:p>
      <w:pPr>
        <w:pStyle w:val="TextBody"/>
        <w:bidi w:val="0"/>
        <w:spacing w:before="240" w:after="0"/>
        <w:jc w:val="left"/>
        <w:rPr>
          <w:rFonts w:ascii="Times New Roman" w:hAnsi="Times New Roman"/>
          <w:sz w:val="20"/>
        </w:rPr>
      </w:pPr>
      <w:r>
        <w:rPr>
          <w:rFonts w:ascii="Times New Roman" w:hAnsi="Times New Roman"/>
          <w:b/>
          <w:sz w:val="20"/>
        </w:rPr>
        <w:t>3.2</w:t>
      </w:r>
      <w:r>
        <w:rPr>
          <w:rFonts w:ascii="Times New Roman" w:hAnsi="Times New Roman"/>
          <w:sz w:val="20"/>
        </w:rPr>
        <w:t xml:space="preserve"> </w:t>
      </w:r>
      <w:r>
        <w:rPr>
          <w:rFonts w:ascii="Times New Roman" w:hAnsi="Times New Roman"/>
          <w:b/>
          <w:sz w:val="20"/>
        </w:rPr>
        <w:t>Representations and Warranties of Parent</w:t>
      </w:r>
      <w:r>
        <w:rPr>
          <w:rFonts w:ascii="Times New Roman" w:hAnsi="Times New Roman"/>
          <w:sz w:val="20"/>
        </w:rPr>
        <w:t xml:space="preserve">. Parent hereby represents and warrants to the Investor as follows: </w:t>
      </w:r>
    </w:p>
    <w:p>
      <w:pPr>
        <w:pStyle w:val="TextBody"/>
        <w:bidi w:val="0"/>
        <w:spacing w:before="240" w:after="0"/>
        <w:jc w:val="left"/>
        <w:rPr>
          <w:rFonts w:ascii="Times New Roman" w:hAnsi="Times New Roman"/>
          <w:sz w:val="20"/>
        </w:rPr>
      </w:pPr>
      <w:r>
        <w:rPr>
          <w:rFonts w:ascii="Times New Roman" w:hAnsi="Times New Roman"/>
          <w:sz w:val="20"/>
        </w:rPr>
        <w:t xml:space="preserve">(a) Parent is a corporation duly incorporated, validly existing and in good standing under the laws of the jurisdiction of its incorporation. Parent has all requisite power and authority to execute and deliver this Agreement and to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The execution and delivery by Parent of this Agreement and the performance by Parent of its obligations under this Agreement do not and will not conflict with or violate any provision of, or require the consent or approval of any Person (except for any such consents or approvals which have been obtained) under, (x) Applicable Law, (y) its organizational documents or (z) any material Contract or agreement to which it is a party. </w:t>
      </w:r>
    </w:p>
    <w:p>
      <w:pPr>
        <w:pStyle w:val="TextBody"/>
        <w:bidi w:val="0"/>
        <w:spacing w:before="240" w:after="0"/>
        <w:jc w:val="left"/>
        <w:rPr>
          <w:rFonts w:ascii="Times New Roman" w:hAnsi="Times New Roman"/>
          <w:sz w:val="20"/>
        </w:rPr>
      </w:pPr>
      <w:r>
        <w:rPr>
          <w:rFonts w:ascii="Times New Roman" w:hAnsi="Times New Roman"/>
          <w:sz w:val="20"/>
        </w:rPr>
        <w:t xml:space="preserve">(c) The execution and delivery by Parent of this Agreement and the performance by Parent of its obligations under this Agreement have been duly authorized by all necessary corporate action on its part and do not require any corporate or other action on the part of any trustee or beneficial or record owner of any Equity Interest in it, other than those which have been obtained prior to the date hereof and are in full force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This Agreement has been duly executed and delivered by Parent and, assuming the due authorization, execution and delivery by the other parties hereto, constitutes a legal, valid and binding obligation of Parent, enforceable against Parent in accordance with its terms, subject to bankruptcy, insolvency and other laws of general applicability relating to or affecting creditors’ rights and to general principles of equity.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REGISTRATION </w:t>
      </w:r>
    </w:p>
    <w:p>
      <w:pPr>
        <w:pStyle w:val="TextBody"/>
        <w:bidi w:val="0"/>
        <w:spacing w:before="240" w:after="0"/>
        <w:jc w:val="left"/>
        <w:rPr>
          <w:rFonts w:ascii="Times New Roman" w:hAnsi="Times New Roman"/>
          <w:b/>
          <w:sz w:val="20"/>
        </w:rPr>
      </w:pPr>
      <w:r>
        <w:rPr>
          <w:rFonts w:ascii="Times New Roman" w:hAnsi="Times New Roman"/>
          <w:b/>
          <w:sz w:val="20"/>
        </w:rPr>
        <w:t xml:space="preserve">4.1 Demand Registrations. </w:t>
      </w:r>
    </w:p>
    <w:p>
      <w:pPr>
        <w:pStyle w:val="TextBody"/>
        <w:bidi w:val="0"/>
        <w:spacing w:before="240" w:after="0"/>
        <w:jc w:val="left"/>
        <w:rPr>
          <w:rFonts w:ascii="Times New Roman" w:hAnsi="Times New Roman"/>
          <w:sz w:val="20"/>
        </w:rPr>
      </w:pPr>
      <w:r>
        <w:rPr>
          <w:rFonts w:ascii="Times New Roman" w:hAnsi="Times New Roman"/>
          <w:sz w:val="20"/>
        </w:rPr>
        <w:t xml:space="preserve">(a) From and after the Initial Release Date, subject to the terms and conditions hereof, (x) solely during any period that Parent is then ineligible under Applicable Law to register Registrable Securities on Form S-3 pursuant to </w:t>
      </w:r>
      <w:r>
        <w:rPr>
          <w:rFonts w:ascii="Times New Roman" w:hAnsi="Times New Roman"/>
          <w:sz w:val="20"/>
          <w:u w:val="single"/>
        </w:rPr>
        <w:t>Section 4.3</w:t>
      </w:r>
      <w:r>
        <w:rPr>
          <w:rFonts w:ascii="Times New Roman" w:hAnsi="Times New Roman"/>
          <w:sz w:val="20"/>
        </w:rPr>
        <w:t xml:space="preserve"> or (y) following the expiration of Parent’s obligation to keep the Shelf Registration Statement continuously effective pursuant to </w:t>
      </w:r>
      <w:r>
        <w:rPr>
          <w:rFonts w:ascii="Times New Roman" w:hAnsi="Times New Roman"/>
          <w:sz w:val="20"/>
          <w:u w:val="single"/>
        </w:rPr>
        <w:t>Section 4.3(b)</w:t>
      </w:r>
      <w:r>
        <w:rPr>
          <w:rFonts w:ascii="Times New Roman" w:hAnsi="Times New Roman"/>
          <w:sz w:val="20"/>
        </w:rPr>
        <w:t>, but only if there is no Shelf Registration Statement then in effect, the Holder or Holders of a majority of the Registrable Securities shall be entitled to make up to two written requests of Parent (each, a “</w:t>
      </w:r>
      <w:r>
        <w:rPr>
          <w:rFonts w:ascii="Times New Roman" w:hAnsi="Times New Roman"/>
          <w:b/>
          <w:sz w:val="20"/>
        </w:rPr>
        <w:t>Demand</w:t>
      </w:r>
      <w:r>
        <w:rPr>
          <w:rFonts w:ascii="Times New Roman" w:hAnsi="Times New Roman"/>
          <w:sz w:val="20"/>
        </w:rPr>
        <w:t>”) for registration under the Securities Act of an amount of Registrable Securities then held by such Holder or Holders that equals or is greater than the Registrable Amount (a “</w:t>
      </w:r>
      <w:r>
        <w:rPr>
          <w:rFonts w:ascii="Times New Roman" w:hAnsi="Times New Roman"/>
          <w:b/>
          <w:sz w:val="20"/>
        </w:rPr>
        <w:t>Demand Registration</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Holders collectively shall not be entitled to make more than two Demands during any 12-month period. Thereupon Parent will, subject to the terms of this Agreement, use its commercially reasonable efforts to effect the registration as promptly as practicable under the Securities Act of: </w:t>
      </w:r>
    </w:p>
    <w:p>
      <w:pPr>
        <w:pStyle w:val="TextBody"/>
        <w:bidi w:val="0"/>
        <w:spacing w:before="120" w:after="0"/>
        <w:jc w:val="left"/>
        <w:rPr>
          <w:rFonts w:ascii="Times New Roman" w:hAnsi="Times New Roman"/>
          <w:sz w:val="20"/>
        </w:rPr>
      </w:pPr>
      <w:r>
        <w:rPr>
          <w:rFonts w:ascii="Times New Roman" w:hAnsi="Times New Roman"/>
          <w:sz w:val="20"/>
        </w:rPr>
        <w:t xml:space="preserve">(i) the Registrable Securities which Parent has been so requested to register by the Holders for disposition in accordance with the intended method of disposition stated in such Demand; and </w:t>
      </w:r>
    </w:p>
    <w:p>
      <w:pPr>
        <w:pStyle w:val="TextBody"/>
        <w:bidi w:val="0"/>
        <w:spacing w:before="120" w:after="0"/>
        <w:jc w:val="left"/>
        <w:rPr>
          <w:rFonts w:ascii="Times New Roman" w:hAnsi="Times New Roman"/>
          <w:sz w:val="20"/>
        </w:rPr>
      </w:pPr>
      <w:r>
        <w:rPr>
          <w:rFonts w:ascii="Times New Roman" w:hAnsi="Times New Roman"/>
          <w:sz w:val="20"/>
        </w:rPr>
        <w:t xml:space="preserve">(ii) all shares of Parent Common Stock which Parent may elect to register in connection with any offering of Registrable Securities pursuant to this </w:t>
      </w:r>
      <w:r>
        <w:rPr>
          <w:rFonts w:ascii="Times New Roman" w:hAnsi="Times New Roman"/>
          <w:sz w:val="20"/>
          <w:u w:val="single"/>
        </w:rPr>
        <w:t>Section 4.1</w:t>
      </w:r>
      <w:r>
        <w:rPr>
          <w:rFonts w:ascii="Times New Roman" w:hAnsi="Times New Roman"/>
          <w:sz w:val="20"/>
        </w:rPr>
        <w:t xml:space="preserve">; but, in each case, subject to </w:t>
      </w:r>
      <w:r>
        <w:rPr>
          <w:rFonts w:ascii="Times New Roman" w:hAnsi="Times New Roman"/>
          <w:sz w:val="20"/>
          <w:u w:val="single"/>
        </w:rPr>
        <w:t>Section 4.1(f)</w:t>
      </w:r>
      <w:r>
        <w:rPr>
          <w:rFonts w:ascii="Times New Roman" w:hAnsi="Times New Roman"/>
          <w:sz w:val="20"/>
        </w:rPr>
        <w:t xml:space="preserve">, and to the extent necessary to permit the orderly disposition (in accordance with the intended methods thereof) of the Registrable Securities and the additional shares of Parent Common Stock, if any, to be so registered; </w:t>
      </w:r>
      <w:r>
        <w:rPr>
          <w:rFonts w:ascii="Times New Roman" w:hAnsi="Times New Roman"/>
          <w:sz w:val="20"/>
          <w:u w:val="single"/>
        </w:rPr>
        <w:t>provided</w:t>
      </w:r>
      <w:r>
        <w:rPr>
          <w:rFonts w:ascii="Times New Roman" w:hAnsi="Times New Roman"/>
          <w:sz w:val="20"/>
        </w:rPr>
        <w:t xml:space="preserve">, that Parent may use a registration statement on Form S-3 or any successor form thereto if Parent would qualify to use such form within 30 days after the date on which the Demand Registration is given and Parent shall not be required to file such registration statement until it is so qualified. </w:t>
      </w:r>
    </w:p>
    <w:p>
      <w:pPr>
        <w:pStyle w:val="TextBody"/>
        <w:bidi w:val="0"/>
        <w:spacing w:before="240" w:after="0"/>
        <w:jc w:val="left"/>
        <w:rPr>
          <w:rFonts w:ascii="Times New Roman" w:hAnsi="Times New Roman"/>
          <w:sz w:val="20"/>
        </w:rPr>
      </w:pPr>
      <w:r>
        <w:rPr>
          <w:rFonts w:ascii="Times New Roman" w:hAnsi="Times New Roman"/>
          <w:sz w:val="20"/>
        </w:rPr>
        <w:t xml:space="preserve">(b) A Demand shall specify: (i) the number of Registrable Securities requested to be registered in such Demand Registration, (ii) the intended method of disposition in connection with such Demand Registration, to the extent then known, including whether such Demand Registration will be an Underwritten Offering, (iii) the intended timing of disposition in connection with such Demand Registration and (iv) the estimated gross proceeds of such Demand Registration, which may not be less than the Registrable Amount. </w:t>
      </w:r>
    </w:p>
    <w:p>
      <w:pPr>
        <w:pStyle w:val="TextBody"/>
        <w:bidi w:val="0"/>
        <w:spacing w:before="240" w:after="0"/>
        <w:jc w:val="left"/>
        <w:rPr>
          <w:rFonts w:ascii="Times New Roman" w:hAnsi="Times New Roman"/>
          <w:sz w:val="20"/>
        </w:rPr>
      </w:pPr>
      <w:r>
        <w:rPr>
          <w:rFonts w:ascii="Times New Roman" w:hAnsi="Times New Roman"/>
          <w:sz w:val="20"/>
        </w:rPr>
        <w:t>(c) A Demand Registration shall not be deemed to have been effected and shall not count as a Demand Registration (i) unless a registration statement with respect thereto has become effective and has remained effective for a period of at least 60 days or such shorter period in which all Registrable Securities included in such Demand Registration have actually been sold thereunder or have ceased being Registrable Securities (</w:t>
      </w:r>
      <w:r>
        <w:rPr>
          <w:rFonts w:ascii="Times New Roman" w:hAnsi="Times New Roman"/>
          <w:sz w:val="20"/>
          <w:u w:val="single"/>
        </w:rPr>
        <w:t>provided</w:t>
      </w:r>
      <w:r>
        <w:rPr>
          <w:rFonts w:ascii="Times New Roman" w:hAnsi="Times New Roman"/>
          <w:sz w:val="20"/>
        </w:rPr>
        <w:t xml:space="preserve">, that such period shall be extended for a period of time equal to the period any Holder of Registrable Securities refrains from selling any securities included in such registration statement at the request of Parent or the lead managing underwriter(s) pursuant to the provisions of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or (ii) if, after it has become effective, such Demand Registration becomes subject, prior to 60 days after effectiveness, to any stop order, injunction or other order or requirement of the Commission or other Governmental Authority such that no sales are possible thereunder for a period of ten consecutive days or more, other than by reason of any act or omission by any Holder. </w:t>
      </w:r>
    </w:p>
    <w:p>
      <w:pPr>
        <w:pStyle w:val="TextBody"/>
        <w:bidi w:val="0"/>
        <w:spacing w:before="240" w:after="0"/>
        <w:jc w:val="left"/>
        <w:rPr>
          <w:rFonts w:ascii="Times New Roman" w:hAnsi="Times New Roman"/>
          <w:sz w:val="20"/>
        </w:rPr>
      </w:pPr>
      <w:r>
        <w:rPr>
          <w:rFonts w:ascii="Times New Roman" w:hAnsi="Times New Roman"/>
          <w:sz w:val="20"/>
        </w:rPr>
        <w:t xml:space="preserve">(d) Demand Registrations shall be on such appropriate registration form of the Commission as shall be reasonably selected by Parent;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Demand Registration shall be on Form S-3 or any successor form thereto if, at the time of such Demand, Parent is eligible to use such form. </w:t>
      </w:r>
    </w:p>
    <w:p>
      <w:pPr>
        <w:pStyle w:val="TextBody"/>
        <w:bidi w:val="0"/>
        <w:spacing w:before="240" w:after="0"/>
        <w:jc w:val="left"/>
        <w:rPr>
          <w:rFonts w:ascii="Times New Roman" w:hAnsi="Times New Roman"/>
          <w:sz w:val="20"/>
        </w:rPr>
      </w:pPr>
      <w:r>
        <w:rPr>
          <w:rFonts w:ascii="Times New Roman" w:hAnsi="Times New Roman"/>
          <w:sz w:val="20"/>
        </w:rPr>
        <w:t xml:space="preserve">(e) Parent shall not be obligated to (i) subject to </w:t>
      </w:r>
      <w:r>
        <w:rPr>
          <w:rFonts w:ascii="Times New Roman" w:hAnsi="Times New Roman"/>
          <w:sz w:val="20"/>
          <w:u w:val="single"/>
        </w:rPr>
        <w:t>Section 4.1(c)</w:t>
      </w:r>
      <w:r>
        <w:rPr>
          <w:rFonts w:ascii="Times New Roman" w:hAnsi="Times New Roman"/>
          <w:sz w:val="20"/>
        </w:rPr>
        <w:t xml:space="preserve">, maintain the effectiveness of a registration statement under the Securities Act filed pursuant to a Demand Registration for a period longer than the earlier of (x) 120 days and (y) the date on which all Registrable Securities included in such registration statement have been sold thereunder or (ii) effect any Demand Registration (A) within six months of a “firm commitment” Underwritten Offering in which the Holders were offered “piggyback” rights pursuant to </w:t>
      </w:r>
      <w:r>
        <w:rPr>
          <w:rFonts w:ascii="Times New Roman" w:hAnsi="Times New Roman"/>
          <w:sz w:val="20"/>
          <w:u w:val="single"/>
        </w:rPr>
        <w:t>Section 4.2</w:t>
      </w:r>
      <w:r>
        <w:rPr>
          <w:rFonts w:ascii="Times New Roman" w:hAnsi="Times New Roman"/>
          <w:sz w:val="20"/>
        </w:rPr>
        <w:t xml:space="preserve"> (subject to </w:t>
      </w:r>
      <w:r>
        <w:rPr>
          <w:rFonts w:ascii="Times New Roman" w:hAnsi="Times New Roman"/>
          <w:sz w:val="20"/>
          <w:u w:val="single"/>
        </w:rPr>
        <w:t>Section 4.2(b)</w:t>
      </w:r>
      <w:r>
        <w:rPr>
          <w:rFonts w:ascii="Times New Roman" w:hAnsi="Times New Roman"/>
          <w:sz w:val="20"/>
        </w:rPr>
        <w:t xml:space="preserve">) and at least 75% of the number of Registrable Securities requested by the Holders to be included in such Underwritten Offering were included and sold, (B) within three months of the completion of any other Demand Registration (including any Underwritten Offering pursuant to any Shelf Registration Statement), or (C) if, in Parent’s reasonable judgment, it is not feasible for Parent to proceed with the Demand Registration because of the unavailability of audited or other required financial statements or other required information; </w:t>
      </w:r>
      <w:r>
        <w:rPr>
          <w:rFonts w:ascii="Times New Roman" w:hAnsi="Times New Roman"/>
          <w:sz w:val="20"/>
          <w:u w:val="single"/>
        </w:rPr>
        <w:t>provided</w:t>
      </w:r>
      <w:r>
        <w:rPr>
          <w:rFonts w:ascii="Times New Roman" w:hAnsi="Times New Roman"/>
          <w:sz w:val="20"/>
        </w:rPr>
        <w:t xml:space="preserve">, that Parent shall use its commercially reasonable efforts to obtain such financial statements or information as promptly as practicable. </w:t>
      </w:r>
    </w:p>
    <w:p>
      <w:pPr>
        <w:pStyle w:val="TextBody"/>
        <w:bidi w:val="0"/>
        <w:spacing w:before="240" w:after="0"/>
        <w:jc w:val="left"/>
        <w:rPr>
          <w:rFonts w:ascii="Times New Roman" w:hAnsi="Times New Roman"/>
          <w:sz w:val="20"/>
        </w:rPr>
      </w:pPr>
      <w:r>
        <w:rPr>
          <w:rFonts w:ascii="Times New Roman" w:hAnsi="Times New Roman"/>
          <w:sz w:val="20"/>
        </w:rPr>
        <w:t xml:space="preserve">(f) If, in connection with a Demand Registration that involves an Underwritten Offering, the lead managing underwriter(s) advise(s) Parent that, in its (their) good faith opinion, the inclusion of all of the securities sought to be registered in connection with such Demand Registration would adversely affect the price, timing or distribution of the securities offered, the market for the securities offered or the success of such Demand Registration, then Parent shall include in such registration statement only such securities as Parent is advised by such lead managing underwriter(s) can be sold without such an adverse effect as follows and in the following order of priority: (i) first, up to the number of Registrable Securities requested to be included in such Demand Registration by the Holders, which, in the opinion of the lead managing underwriter(s), can be sold without such an effect; (ii) second, securities Parent proposes to sell; and (iii) third, all other securities of Parent duly requested to be included in such registration statement, pro rata on the basis of the amount of such other securities requested to be included or such other allocation method determined by Parent. </w:t>
      </w:r>
    </w:p>
    <w:p>
      <w:pPr>
        <w:pStyle w:val="TextBody"/>
        <w:bidi w:val="0"/>
        <w:spacing w:before="240" w:after="0"/>
        <w:jc w:val="left"/>
        <w:rPr>
          <w:rFonts w:ascii="Times New Roman" w:hAnsi="Times New Roman"/>
          <w:sz w:val="20"/>
        </w:rPr>
      </w:pPr>
      <w:r>
        <w:rPr>
          <w:rFonts w:ascii="Times New Roman" w:hAnsi="Times New Roman"/>
          <w:sz w:val="20"/>
        </w:rPr>
        <w:t xml:space="preserve">(g) Any time that a Demand Registration involves an Underwritten Offering, the Holder or Holders of a majority of the Registrable Securities to be sold in such Underwritten Offering shall select the investment banker(s) and manager(s) that will serve as managing underwriter(s) (including which such managing underwriter(s) will serve as lead or co-lead) and underwriter(s) with respect to the offering of such Registrable Securities; </w:t>
      </w:r>
      <w:r>
        <w:rPr>
          <w:rFonts w:ascii="Times New Roman" w:hAnsi="Times New Roman"/>
          <w:sz w:val="20"/>
          <w:u w:val="single"/>
        </w:rPr>
        <w:t>provided</w:t>
      </w:r>
      <w:r>
        <w:rPr>
          <w:rFonts w:ascii="Times New Roman" w:hAnsi="Times New Roman"/>
          <w:sz w:val="20"/>
        </w:rPr>
        <w:t xml:space="preserve">, that such investment banker(s) and manager(s) shall be acceptable to Parent (such acceptance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(h) Any Holder may, by written notice to Parent, withdraw its Registrable Securities from a Demand Registration at any time prior to the effectiveness of the applicable registration statement and such withdrawn Demand Registration shall not count as a Demand Registration for purposes of the limitations set forth in </w:t>
      </w:r>
      <w:r>
        <w:rPr>
          <w:rFonts w:ascii="Times New Roman" w:hAnsi="Times New Roman"/>
          <w:sz w:val="20"/>
          <w:u w:val="single"/>
        </w:rPr>
        <w:t>Section 4.1(a)</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such Holder reimburses Parent for all reasonable, out-of-pocket expenses incurred by Parent in connection with such Demand Registration. Upon receipt of notice from a Holder to such effect, or if such withdrawal shall reduce the number of Registrable Securities sought to be included in such Demand Registration below the Registrable Amount, Parent shall cease all efforts to seek effectiveness of the applicable registration statement, unless Parent intends to effect a primary offering of securities or a Piggyback Registration pursuant to such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4.2 Piggyback Registrations. </w:t>
      </w:r>
    </w:p>
    <w:p>
      <w:pPr>
        <w:pStyle w:val="TextBody"/>
        <w:bidi w:val="0"/>
        <w:spacing w:before="240" w:after="0"/>
        <w:jc w:val="left"/>
        <w:rPr>
          <w:rFonts w:ascii="Times New Roman" w:hAnsi="Times New Roman"/>
          <w:sz w:val="20"/>
        </w:rPr>
      </w:pPr>
      <w:r>
        <w:rPr>
          <w:rFonts w:ascii="Times New Roman" w:hAnsi="Times New Roman"/>
          <w:sz w:val="20"/>
        </w:rPr>
        <w:t xml:space="preserve">(a) From and after the Initial Release Date, subject to the terms and conditions hereof, whenever Parent proposes to register any Parent Common Stock under the Securities Act (other than a registration by Parent (i) on Form S-4 or any successor form thereto (or similar form that relates to a transaction subject to Rule 145 under the Securities Act or any successor rule thereto), (ii) on Form S-8 or any successor form thereto (or other registration solely relating to an offering or sale to employees or directors of Parent pursuant to any employee stock plan or other employee benefit arrangement), (iii) on a Shelf Registration Statement, (iv) in connection with any dividend or distribution reinvestment or similar plan, (v) incidental to an issuance of debt securities under Rule 144A or (vi) pursuant to </w:t>
      </w:r>
      <w:r>
        <w:rPr>
          <w:rFonts w:ascii="Times New Roman" w:hAnsi="Times New Roman"/>
          <w:sz w:val="20"/>
          <w:u w:val="single"/>
        </w:rPr>
        <w:t>Section 4.1</w:t>
      </w:r>
      <w:r>
        <w:rPr>
          <w:rFonts w:ascii="Times New Roman" w:hAnsi="Times New Roman"/>
          <w:sz w:val="20"/>
        </w:rPr>
        <w:t>) (such registration other than those referred to in the immediately preceding parenthetical, a “</w:t>
      </w:r>
      <w:r>
        <w:rPr>
          <w:rFonts w:ascii="Times New Roman" w:hAnsi="Times New Roman"/>
          <w:b/>
          <w:sz w:val="20"/>
        </w:rPr>
        <w:t>Piggyback Registration</w:t>
      </w:r>
      <w:r>
        <w:rPr>
          <w:rFonts w:ascii="Times New Roman" w:hAnsi="Times New Roman"/>
          <w:sz w:val="20"/>
        </w:rPr>
        <w:t>”), whether for its own account or for the account of others, Parent shall give each Holder prompt written notice thereof (but not less than ten Business Days prior to the filing by Parent with the Commission of any registration statement with respect thereto). Such notice (a “</w:t>
      </w:r>
      <w:r>
        <w:rPr>
          <w:rFonts w:ascii="Times New Roman" w:hAnsi="Times New Roman"/>
          <w:b/>
          <w:sz w:val="20"/>
        </w:rPr>
        <w:t>Piggyback Notice</w:t>
      </w:r>
      <w:r>
        <w:rPr>
          <w:rFonts w:ascii="Times New Roman" w:hAnsi="Times New Roman"/>
          <w:sz w:val="20"/>
        </w:rPr>
        <w:t xml:space="preserve">”) shall specify the number of shares of Parent Common Stock proposed to be registered, the proposed date of filing of such registration statement with the Commission, the proposed means of distribution, the proposed managing underwriter(s) (if any) and a good faith estimate by Parent of the proposed minimum offering price of such shares of Parent Common Stock, in each case to the extent then known. Subject to </w:t>
      </w:r>
      <w:r>
        <w:rPr>
          <w:rFonts w:ascii="Times New Roman" w:hAnsi="Times New Roman"/>
          <w:sz w:val="20"/>
          <w:u w:val="single"/>
        </w:rPr>
        <w:t>Section 4.2(b)</w:t>
      </w:r>
      <w:r>
        <w:rPr>
          <w:rFonts w:ascii="Times New Roman" w:hAnsi="Times New Roman"/>
          <w:sz w:val="20"/>
        </w:rPr>
        <w:t xml:space="preserve">, Parent shall include in each such Piggyback Registration all Registrable Securities held by the Holders with respect to which Parent has received a written request (which written request shall specify the number of Registrable Securities requested to be disposed of by each Holder) for inclusion therein within five Business Days after such Piggyback Notice is received by each Holder. </w:t>
      </w:r>
    </w:p>
    <w:p>
      <w:pPr>
        <w:pStyle w:val="TextBody"/>
        <w:bidi w:val="0"/>
        <w:spacing w:before="240" w:after="0"/>
        <w:jc w:val="left"/>
        <w:rPr>
          <w:rFonts w:ascii="Times New Roman" w:hAnsi="Times New Roman"/>
          <w:sz w:val="20"/>
        </w:rPr>
      </w:pPr>
      <w:r>
        <w:rPr>
          <w:rFonts w:ascii="Times New Roman" w:hAnsi="Times New Roman"/>
          <w:sz w:val="20"/>
        </w:rPr>
        <w:t>(b) If, in connection with a Piggyback Registration that involves an Underwritten Offering, the lead managing underwriter(s) advises Parent that, in its opinion, the inclusion of all the shares of Parent Common Stock sought to be included in such Piggyback Registration by (i) Parent, (ii) other Persons who have sought to have shares of Parent Common Stock registered in such Piggyback Registration pursuant to rights to demand (other than pursuant to so-called “piggyback” or other incidental or participation registration rights) such registration (such Persons being “</w:t>
      </w:r>
      <w:r>
        <w:rPr>
          <w:rFonts w:ascii="Times New Roman" w:hAnsi="Times New Roman"/>
          <w:b/>
          <w:sz w:val="20"/>
        </w:rPr>
        <w:t>Other Demanding Sellers</w:t>
      </w:r>
      <w:r>
        <w:rPr>
          <w:rFonts w:ascii="Times New Roman" w:hAnsi="Times New Roman"/>
          <w:sz w:val="20"/>
        </w:rPr>
        <w:t>”), (iii) the Holders and (iv) any other proposed sellers of shares of Parent Common Stock (such Persons being “</w:t>
      </w:r>
      <w:r>
        <w:rPr>
          <w:rFonts w:ascii="Times New Roman" w:hAnsi="Times New Roman"/>
          <w:b/>
          <w:sz w:val="20"/>
        </w:rPr>
        <w:t>Other Proposed Sellers</w:t>
      </w:r>
      <w:r>
        <w:rPr>
          <w:rFonts w:ascii="Times New Roman" w:hAnsi="Times New Roman"/>
          <w:sz w:val="20"/>
        </w:rPr>
        <w:t xml:space="preserve">”), as the case may be, would adversely affect the price, timing or distribution of the securities offered, the market for the securities offered or the success of such Piggyback Registration, then Parent shall include in the registration statement applicable to such Piggyback Registration only such shares of Parent Common Stock as Parent is so advised by such lead managing underwriter(s) can be sold without such an effect, as follows and in the following order of priority: </w:t>
      </w:r>
    </w:p>
    <w:p>
      <w:pPr>
        <w:pStyle w:val="TextBody"/>
        <w:bidi w:val="0"/>
        <w:spacing w:before="120" w:after="0"/>
        <w:jc w:val="left"/>
        <w:rPr>
          <w:rFonts w:ascii="Times New Roman" w:hAnsi="Times New Roman"/>
          <w:sz w:val="20"/>
        </w:rPr>
      </w:pPr>
      <w:r>
        <w:rPr>
          <w:rFonts w:ascii="Times New Roman" w:hAnsi="Times New Roman"/>
          <w:sz w:val="20"/>
        </w:rPr>
        <w:t xml:space="preserve">(i) if the Piggyback Registration relates to an offering for Parent’s own account, then (A) first, the shares of Parent Common Stock to be sold by Parent, and (B) second, the Registrable Securities of the Holders and shares of Parent Common Stock sought to be registered by Other Demanding Sellers and by Other Proposed Sellers, pro rata on the basis of the number of Registrable Securities proposed to be sold by the Holders and the number of shares of Parent Common Stock proposed to be sold by such Other Demanding Sellers and by such Other Proposed Sellers; or </w:t>
      </w:r>
    </w:p>
    <w:p>
      <w:pPr>
        <w:pStyle w:val="TextBody"/>
        <w:bidi w:val="0"/>
        <w:spacing w:before="120" w:after="0"/>
        <w:jc w:val="left"/>
        <w:rPr>
          <w:rFonts w:ascii="Times New Roman" w:hAnsi="Times New Roman"/>
          <w:sz w:val="20"/>
        </w:rPr>
      </w:pPr>
      <w:r>
        <w:rPr>
          <w:rFonts w:ascii="Times New Roman" w:hAnsi="Times New Roman"/>
          <w:sz w:val="20"/>
        </w:rPr>
        <w:t xml:space="preserve">(ii) if the Piggyback Registration relates to an offering other than for Parent’s own account, then (A) first, such number of shares of Parent Common Stock sought to be registered by the Other Demanding Sellers, (B) second, shares of Parent Common Stock to be sold by Parent, and (C) third, Registrable Securities of the Holders and shares of Parent Common Stock sought to be registered by Other Proposed Sellers, pro rata on the basis of the number of Registrable Securities proposed to be sold by the Holder and the number of shares of Parent Common Stock proposed to be sold by such Other Proposed Sellers.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In connection with any Underwritten Offering under this </w:t>
      </w:r>
      <w:r>
        <w:rPr>
          <w:rFonts w:ascii="Times New Roman" w:hAnsi="Times New Roman"/>
          <w:sz w:val="20"/>
          <w:u w:val="single"/>
        </w:rPr>
        <w:t>Section 4.2</w:t>
      </w:r>
      <w:r>
        <w:rPr>
          <w:rFonts w:ascii="Times New Roman" w:hAnsi="Times New Roman"/>
          <w:sz w:val="20"/>
        </w:rPr>
        <w:t xml:space="preserve">, Parent shall not be required to include the Registrable Securities of any Holder in the Underwritten Offering unless such Holder accepts the terms of the underwriting as agreed upon between Parent and the lead managing underwriter(s), which shall be selected in good faith by Parent. </w:t>
      </w:r>
    </w:p>
    <w:p>
      <w:pPr>
        <w:pStyle w:val="TextBody"/>
        <w:bidi w:val="0"/>
        <w:spacing w:before="240" w:after="0"/>
        <w:jc w:val="left"/>
        <w:rPr>
          <w:rFonts w:ascii="Times New Roman" w:hAnsi="Times New Roman"/>
          <w:sz w:val="20"/>
        </w:rPr>
      </w:pPr>
      <w:r>
        <w:rPr>
          <w:rFonts w:ascii="Times New Roman" w:hAnsi="Times New Roman"/>
          <w:sz w:val="20"/>
        </w:rPr>
        <w:t xml:space="preserve">(d) If, at any time after giving written notice of its intention to register any shares of Parent Common Stock as set forth in this </w:t>
      </w:r>
      <w:r>
        <w:rPr>
          <w:rFonts w:ascii="Times New Roman" w:hAnsi="Times New Roman"/>
          <w:sz w:val="20"/>
          <w:u w:val="single"/>
        </w:rPr>
        <w:t>Section 4.2</w:t>
      </w:r>
      <w:r>
        <w:rPr>
          <w:rFonts w:ascii="Times New Roman" w:hAnsi="Times New Roman"/>
          <w:sz w:val="20"/>
        </w:rPr>
        <w:t xml:space="preserve">, Parent shall determine for any reason not to register such shares of Parent Common Stock, Parent may, at its election, give written notice of such determination to each Holder and thereupon shall be relieved of its obligation to register any Registrable Securities in connection with such particular withdrawn or abandoned Piggyback Registration. </w:t>
      </w:r>
    </w:p>
    <w:p>
      <w:pPr>
        <w:pStyle w:val="TextBody"/>
        <w:bidi w:val="0"/>
        <w:spacing w:before="240" w:after="0"/>
        <w:jc w:val="left"/>
        <w:rPr>
          <w:rFonts w:ascii="Times New Roman" w:hAnsi="Times New Roman"/>
          <w:b/>
          <w:sz w:val="20"/>
        </w:rPr>
      </w:pPr>
      <w:r>
        <w:rPr>
          <w:rFonts w:ascii="Times New Roman" w:hAnsi="Times New Roman"/>
          <w:b/>
          <w:sz w:val="20"/>
        </w:rPr>
        <w:t xml:space="preserve">4.3 Shelf Registration Statement. </w:t>
      </w:r>
    </w:p>
    <w:p>
      <w:pPr>
        <w:pStyle w:val="TextBody"/>
        <w:bidi w:val="0"/>
        <w:spacing w:before="240" w:after="0"/>
        <w:jc w:val="left"/>
        <w:rPr>
          <w:rFonts w:ascii="Times New Roman" w:hAnsi="Times New Roman"/>
          <w:sz w:val="20"/>
        </w:rPr>
      </w:pPr>
      <w:r>
        <w:rPr>
          <w:rFonts w:ascii="Times New Roman" w:hAnsi="Times New Roman"/>
          <w:sz w:val="20"/>
        </w:rPr>
        <w:t>(a) Parent shall use its commercially reasonable efforts to prepare and file, by no later than the date that is 30 days prior to the Initial Release Date, a registration statement covering the sale or distribution from time to time by any Investor Party holding Registrable Securities (each such Investor Party, a “</w:t>
      </w:r>
      <w:r>
        <w:rPr>
          <w:rFonts w:ascii="Times New Roman" w:hAnsi="Times New Roman"/>
          <w:b/>
          <w:sz w:val="20"/>
        </w:rPr>
        <w:t>Holder</w:t>
      </w:r>
      <w:r>
        <w:rPr>
          <w:rFonts w:ascii="Times New Roman" w:hAnsi="Times New Roman"/>
          <w:sz w:val="20"/>
        </w:rPr>
        <w:t>”), on a delayed or continuous basis pursuant to Rule 415 of the Securities Act, of all of the Registrable Securities of such Holder on Form S-3 or any successor form thereto (“</w:t>
      </w:r>
      <w:r>
        <w:rPr>
          <w:rFonts w:ascii="Times New Roman" w:hAnsi="Times New Roman"/>
          <w:b/>
          <w:sz w:val="20"/>
        </w:rPr>
        <w:t>Form S-3</w:t>
      </w:r>
      <w:r>
        <w:rPr>
          <w:rFonts w:ascii="Times New Roman" w:hAnsi="Times New Roman"/>
          <w:sz w:val="20"/>
        </w:rPr>
        <w:t>”) (except if Parent is not then eligible to register for resale the Registrable Securities on Form S-3, in which case such registration shall be on another appropriate form and shall provide for the registration of such Registrable Securities for resale by each Holder in accordance with any reasonable method of distribution elected by such Holder) (the “</w:t>
      </w:r>
      <w:r>
        <w:rPr>
          <w:rFonts w:ascii="Times New Roman" w:hAnsi="Times New Roman"/>
          <w:b/>
          <w:sz w:val="20"/>
        </w:rPr>
        <w:t>Shelf Registration Statement</w:t>
      </w:r>
      <w:r>
        <w:rPr>
          <w:rFonts w:ascii="Times New Roman" w:hAnsi="Times New Roman"/>
          <w:sz w:val="20"/>
        </w:rPr>
        <w:t xml:space="preserve">”) and shall further use its commercially reasonable efforts to cause such Shelf Registration Statement to be declared effective by the Commission as soon as reasonably practicable after the filing thereof. </w:t>
      </w:r>
    </w:p>
    <w:p>
      <w:pPr>
        <w:pStyle w:val="TextBody"/>
        <w:bidi w:val="0"/>
        <w:spacing w:before="240" w:after="0"/>
        <w:jc w:val="left"/>
        <w:rPr>
          <w:rFonts w:ascii="Times New Roman" w:hAnsi="Times New Roman"/>
          <w:sz w:val="20"/>
        </w:rPr>
      </w:pPr>
      <w:r>
        <w:rPr>
          <w:rFonts w:ascii="Times New Roman" w:hAnsi="Times New Roman"/>
          <w:sz w:val="20"/>
        </w:rPr>
        <w:t xml:space="preserve">(b) Subject to </w:t>
      </w:r>
      <w:r>
        <w:rPr>
          <w:rFonts w:ascii="Times New Roman" w:hAnsi="Times New Roman"/>
          <w:sz w:val="20"/>
          <w:u w:val="single"/>
        </w:rPr>
        <w:t>Section 4.3(c)</w:t>
      </w:r>
      <w:r>
        <w:rPr>
          <w:rFonts w:ascii="Times New Roman" w:hAnsi="Times New Roman"/>
          <w:sz w:val="20"/>
        </w:rPr>
        <w:t xml:space="preserve">, Parent will use its commercially reasonable efforts to keep the Shelf Registration Statement continuously effective under the Securities Act until the earlier of (i) the second anniversary of the date on which the Shelf Registration Statement was declared effective, (ii) such time as all Registrable Securities covered by the Shelf Registration Statement have been sold or otherwise cease to be Registrable Securities and (iii) the date on which this Agreement terminates pursuant to </w:t>
      </w:r>
      <w:r>
        <w:rPr>
          <w:rFonts w:ascii="Times New Roman" w:hAnsi="Times New Roman"/>
          <w:sz w:val="20"/>
          <w:u w:val="single"/>
        </w:rPr>
        <w:t>Section 6.1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 At any time that a Shelf Registration Statement is effective, if any Holder delivers a notice to Parent (a “</w:t>
      </w:r>
      <w:r>
        <w:rPr>
          <w:rFonts w:ascii="Times New Roman" w:hAnsi="Times New Roman"/>
          <w:b/>
          <w:sz w:val="20"/>
        </w:rPr>
        <w:t>Take-Down Notice</w:t>
      </w:r>
      <w:r>
        <w:rPr>
          <w:rFonts w:ascii="Times New Roman" w:hAnsi="Times New Roman"/>
          <w:sz w:val="20"/>
        </w:rPr>
        <w:t>”) stating that it intends to sell all or part of its Registrable Securities included by it on the Shelf Registration Statement in an Underwritten Offering (a “</w:t>
      </w:r>
      <w:r>
        <w:rPr>
          <w:rFonts w:ascii="Times New Roman" w:hAnsi="Times New Roman"/>
          <w:b/>
          <w:sz w:val="20"/>
        </w:rPr>
        <w:t>Shelf Offering</w:t>
      </w:r>
      <w:r>
        <w:rPr>
          <w:rFonts w:ascii="Times New Roman" w:hAnsi="Times New Roman"/>
          <w:sz w:val="20"/>
        </w:rPr>
        <w:t xml:space="preserve">”), then Parent shall promptly amend or supplement the Shelf Registration Statement as may be necessary in order to enable such Registrable Securities to be distributed pursuant to the Shelf Offering; </w:t>
      </w:r>
      <w:r>
        <w:rPr>
          <w:rFonts w:ascii="Times New Roman" w:hAnsi="Times New Roman"/>
          <w:sz w:val="20"/>
          <w:u w:val="single"/>
        </w:rPr>
        <w:t>provided</w:t>
      </w:r>
      <w:r>
        <w:rPr>
          <w:rFonts w:ascii="Times New Roman" w:hAnsi="Times New Roman"/>
          <w:sz w:val="20"/>
        </w:rPr>
        <w:t xml:space="preserve">, that Parent shall not be obligated to effect more than two Shelf Offerings during any 12-month period or to effect any Shelf Offering for less than the Registrable Amount. </w:t>
      </w:r>
    </w:p>
    <w:p>
      <w:pPr>
        <w:pStyle w:val="TextBody"/>
        <w:bidi w:val="0"/>
        <w:spacing w:before="240" w:after="0"/>
        <w:jc w:val="left"/>
        <w:rPr>
          <w:rFonts w:ascii="Times New Roman" w:hAnsi="Times New Roman"/>
          <w:sz w:val="20"/>
        </w:rPr>
      </w:pPr>
      <w:r>
        <w:rPr>
          <w:rFonts w:ascii="Times New Roman" w:hAnsi="Times New Roman"/>
          <w:sz w:val="20"/>
        </w:rPr>
        <w:t xml:space="preserve">(d) In connection with any Shelf Offering, if the lead managing underwriter(s) advises Parent and each Holder participating in such Shelf Offering that, in its opinion, the inclusion of all of the securities sought to be sold in connection with such Shelf Offering would adversely affect the price, timing or distribution of the securities offered, the market for the securities or the success of such Shelf Offering, then there shall be included in such Shelf Offering only such securities as the lead managing underwriter(s) advises can be sold without such adverse effect, and such number of Registrable Securities shall be allocated in the same manner as described in </w:t>
      </w:r>
      <w:r>
        <w:rPr>
          <w:rFonts w:ascii="Times New Roman" w:hAnsi="Times New Roman"/>
          <w:sz w:val="20"/>
          <w:u w:val="single"/>
        </w:rPr>
        <w:t>Section 4.1(f)</w:t>
      </w:r>
      <w:r>
        <w:rPr>
          <w:rFonts w:ascii="Times New Roman" w:hAnsi="Times New Roman"/>
          <w:sz w:val="20"/>
        </w:rPr>
        <w:t xml:space="preserve">. Except as otherwise expressly specified in this </w:t>
      </w:r>
      <w:r>
        <w:rPr>
          <w:rFonts w:ascii="Times New Roman" w:hAnsi="Times New Roman"/>
          <w:sz w:val="20"/>
          <w:u w:val="single"/>
        </w:rPr>
        <w:t>Section 4.3</w:t>
      </w:r>
      <w:r>
        <w:rPr>
          <w:rFonts w:ascii="Times New Roman" w:hAnsi="Times New Roman"/>
          <w:sz w:val="20"/>
        </w:rPr>
        <w:t xml:space="preserve">, any Shelf Offering shall be subject to the same requirements, limitations and other provisions of this </w:t>
      </w:r>
      <w:r>
        <w:rPr>
          <w:rFonts w:ascii="Times New Roman" w:hAnsi="Times New Roman"/>
          <w:sz w:val="20"/>
          <w:u w:val="single"/>
        </w:rPr>
        <w:t>Article IV</w:t>
      </w:r>
      <w:r>
        <w:rPr>
          <w:rFonts w:ascii="Times New Roman" w:hAnsi="Times New Roman"/>
          <w:sz w:val="20"/>
        </w:rPr>
        <w:t xml:space="preserve"> as would be applicable to a Demand Registration (i.e., as if such Shelf Offering were a Demand Registration), including </w:t>
      </w:r>
      <w:r>
        <w:rPr>
          <w:rFonts w:ascii="Times New Roman" w:hAnsi="Times New Roman"/>
          <w:sz w:val="20"/>
          <w:u w:val="single"/>
        </w:rPr>
        <w:t>Section 4.1(e)(ii)</w:t>
      </w:r>
      <w:r>
        <w:rPr>
          <w:rFonts w:ascii="Times New Roman" w:hAnsi="Times New Roman"/>
          <w:sz w:val="20"/>
        </w:rPr>
        <w:t xml:space="preserve">, </w:t>
      </w:r>
      <w:r>
        <w:rPr>
          <w:rFonts w:ascii="Times New Roman" w:hAnsi="Times New Roman"/>
          <w:sz w:val="20"/>
          <w:u w:val="single"/>
        </w:rPr>
        <w:t>Section 4.1(g)</w:t>
      </w:r>
      <w:r>
        <w:rPr>
          <w:rFonts w:ascii="Times New Roman" w:hAnsi="Times New Roman"/>
          <w:sz w:val="20"/>
        </w:rPr>
        <w:t xml:space="preserve"> and </w:t>
      </w:r>
      <w:r>
        <w:rPr>
          <w:rFonts w:ascii="Times New Roman" w:hAnsi="Times New Roman"/>
          <w:sz w:val="20"/>
          <w:u w:val="single"/>
        </w:rPr>
        <w:t>Section 4.1(h)</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If any of the Registrable Securities is to be sold in a Shelf Offering initiated by a Holder, the Holder or Holders of a majority of the Registrable Securities to be sold in such Shelf Offering shall select the investment banker(s) and manager(s) that will serve as managing underwriter(s) (including which such managing underwriter(s) will serve as lead or co-lead) and underwriter(s) with respect to the offering of such Registrable Securities; </w:t>
      </w:r>
      <w:r>
        <w:rPr>
          <w:rFonts w:ascii="Times New Roman" w:hAnsi="Times New Roman"/>
          <w:sz w:val="20"/>
          <w:u w:val="single"/>
        </w:rPr>
        <w:t>provided</w:t>
      </w:r>
      <w:r>
        <w:rPr>
          <w:rFonts w:ascii="Times New Roman" w:hAnsi="Times New Roman"/>
          <w:sz w:val="20"/>
        </w:rPr>
        <w:t xml:space="preserve">, that such investment banker(s) and manager(s) shall be acceptable to Parent (such acceptance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(f) If a Person entitled to the benefits of this Agreement becomes a Holder of Registrable Securities after a Shelf Registration Statement becomes effective under the Securities Act, Parent shall, as promptly as is reasonably practicable following delivery of written notice to Parent of such Person becoming a Holder and requesting for its name to be included as a selling securityholder in the prospectus related to the Shelf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if required and permitted by Applicable Law, file with the Commission a supplement to the related prospectus or a post-effective amendment to the Shelf Registration Statement so that such Holder is named as a selling securityholder in the Shelf Registration Statement and the related prospectus in such a manner as to permit such Holder to deliver a prospectus to purchasers of the Registrable Securities in accordance with Applicable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shall not be required to file more than one post-effective amendment or a supplement to the related prospectus for such purpose in any 30-day period; and </w:t>
      </w:r>
    </w:p>
    <w:p>
      <w:pPr>
        <w:pStyle w:val="TextBody"/>
        <w:bidi w:val="0"/>
        <w:spacing w:before="120" w:after="0"/>
        <w:jc w:val="left"/>
        <w:rPr>
          <w:rFonts w:ascii="Times New Roman" w:hAnsi="Times New Roman"/>
          <w:sz w:val="20"/>
        </w:rPr>
      </w:pPr>
      <w:r>
        <w:rPr>
          <w:rFonts w:ascii="Times New Roman" w:hAnsi="Times New Roman"/>
          <w:sz w:val="20"/>
        </w:rPr>
        <w:t xml:space="preserve">(ii) if, pursuant to the foregoing </w:t>
      </w:r>
      <w:r>
        <w:rPr>
          <w:rFonts w:ascii="Times New Roman" w:hAnsi="Times New Roman"/>
          <w:sz w:val="20"/>
          <w:u w:val="single"/>
        </w:rPr>
        <w:t>Section 4.3(f)(i)</w:t>
      </w:r>
      <w:r>
        <w:rPr>
          <w:rFonts w:ascii="Times New Roman" w:hAnsi="Times New Roman"/>
          <w:sz w:val="20"/>
        </w:rPr>
        <w:t xml:space="preserve">, Parent shall have filed a post-effective amendment to the Shelf Registration Statement that is not automatically effective, use its commercially reasonable efforts to cause such post-effective amendment to become effective under the Securities Act as promptly as is reasonably practicable and notify such Holder as promptly as is reasonably practicable after the effectiveness under the Securities Act of any post-effective amendment filed pursuant to this </w:t>
      </w:r>
      <w:r>
        <w:rPr>
          <w:rFonts w:ascii="Times New Roman" w:hAnsi="Times New Roman"/>
          <w:sz w:val="20"/>
          <w:u w:val="single"/>
        </w:rPr>
        <w:t>Section 4.3(f)(ii)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4.4</w:t>
      </w:r>
      <w:r>
        <w:rPr>
          <w:rFonts w:ascii="Times New Roman" w:hAnsi="Times New Roman"/>
          <w:sz w:val="20"/>
        </w:rPr>
        <w:t xml:space="preserve"> </w:t>
      </w:r>
      <w:r>
        <w:rPr>
          <w:rFonts w:ascii="Times New Roman" w:hAnsi="Times New Roman"/>
          <w:b/>
          <w:sz w:val="20"/>
        </w:rPr>
        <w:t>Holdback Agreements</w:t>
      </w:r>
      <w:r>
        <w:rPr>
          <w:rFonts w:ascii="Times New Roman" w:hAnsi="Times New Roman"/>
          <w:sz w:val="20"/>
        </w:rPr>
        <w:t xml:space="preserve">. In connection with any Underwritten Offering, each Holder shall enter into customary agreements restricting the public sale or distribution of Equity Interests of Parent (including sales pursuant to Rule 144 under the Securities Act) to the extent required by the lead managing underwriter(s) with respect to an applicable Underwritten Offering during the period commencing on the date of the request (which shall be no earlier than seven days prior to the expected “pricing” of such Underwritten Offering) and continuing for not more than 90 days after the date of the “final” prospectus (or “final” prospectus supplement if the Underwritten Offering is made pursuant to a Shelf Registration Statement), pursuant to which such Underwritten Offering shall be made, or such lesser period and permitted exceptions as are otherwise agreed by the lead managing underwriter(s) of such Underwritten Offering. If any Demand Registration or Shelf Offering involves an Underwritten Offering, Parent will not effect any public sale or distribution of any common equity (or securities convertible into or exchangeable or exercisable for common equity) (other than as part of such Underwritten Offering, a registration statement on Form S-4, Form S-8 or any successor forms thereto or in connection with any dividend or distribution reinvestment or similar plan) for its own account, within 60 days after the effective date of such registration except as may otherwise be agreed between Parent and the lead managing underwriter(s) of such Underwritten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4.5 Registration Procedures. </w:t>
      </w:r>
    </w:p>
    <w:p>
      <w:pPr>
        <w:pStyle w:val="TextBody"/>
        <w:bidi w:val="0"/>
        <w:spacing w:before="240" w:after="0"/>
        <w:jc w:val="left"/>
        <w:rPr>
          <w:rFonts w:ascii="Times New Roman" w:hAnsi="Times New Roman"/>
          <w:sz w:val="20"/>
        </w:rPr>
      </w:pPr>
      <w:r>
        <w:rPr>
          <w:rFonts w:ascii="Times New Roman" w:hAnsi="Times New Roman"/>
          <w:sz w:val="20"/>
        </w:rPr>
        <w:t xml:space="preserve">(a) If and whenever Parent is required to use commercially reasonable efforts to effect the registration of any Registrable Securities under the Securities Act as provided in </w:t>
      </w:r>
      <w:r>
        <w:rPr>
          <w:rFonts w:ascii="Times New Roman" w:hAnsi="Times New Roman"/>
          <w:sz w:val="20"/>
          <w:u w:val="single"/>
        </w:rPr>
        <w:t>Section 4.1</w:t>
      </w:r>
      <w:r>
        <w:rPr>
          <w:rFonts w:ascii="Times New Roman" w:hAnsi="Times New Roman"/>
          <w:sz w:val="20"/>
        </w:rPr>
        <w:t xml:space="preserve"> or </w:t>
      </w:r>
      <w:r>
        <w:rPr>
          <w:rFonts w:ascii="Times New Roman" w:hAnsi="Times New Roman"/>
          <w:sz w:val="20"/>
          <w:u w:val="single"/>
        </w:rPr>
        <w:t>Section 4.3</w:t>
      </w:r>
      <w:r>
        <w:rPr>
          <w:rFonts w:ascii="Times New Roman" w:hAnsi="Times New Roman"/>
          <w:sz w:val="20"/>
        </w:rPr>
        <w:t xml:space="preserve">, Parent shall as promptly as reasonably practicable: </w:t>
      </w:r>
    </w:p>
    <w:p>
      <w:pPr>
        <w:pStyle w:val="TextBody"/>
        <w:bidi w:val="0"/>
        <w:spacing w:before="120" w:after="0"/>
        <w:jc w:val="left"/>
        <w:rPr>
          <w:rFonts w:ascii="Times New Roman" w:hAnsi="Times New Roman"/>
          <w:sz w:val="20"/>
        </w:rPr>
      </w:pPr>
      <w:r>
        <w:rPr>
          <w:rFonts w:ascii="Times New Roman" w:hAnsi="Times New Roman"/>
          <w:sz w:val="20"/>
        </w:rPr>
        <w:t xml:space="preserve">(i) prepare and file with the Commission a registration statement to effect such registration in accordance with the intended method or methods of distribution of such securities and thereafter use commercially reasonable efforts to cause such registration statement to become and remain effective pursuant to the terms of this </w:t>
      </w:r>
      <w:r>
        <w:rPr>
          <w:rFonts w:ascii="Times New Roman" w:hAnsi="Times New Roman"/>
          <w:sz w:val="20"/>
          <w:u w:val="single"/>
        </w:rPr>
        <w:t>Article IV</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may discontinue any registration of its securities which are not Registrable Securities at any time prior to the effective date of the registration statement relating thereto;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before filing such registration statement or any amendments thereto, Parent will furnish to each Holder, counsel to each Holder and the lead managing underwriter(s), if any, copies of all such documents proposed to be filed, which documents will be subject to the review and reasonable comment of the Holders and such counsel, and other documents reasonably requested by any Holder or such counsel, including any comment letter from the Commission, and, if requested by any Holder or such counsel, provide such counsel reasonable opportunity to participate in the preparation of such registration statement and each prospectus included therein and such other opportunities to conduct a reasonable investigation within the meaning of the Securities Act, including reasonable access to Parent’s books and records, officers, accountants and other advisors; </w:t>
      </w:r>
      <w:r>
        <w:rPr>
          <w:rFonts w:ascii="Times New Roman" w:hAnsi="Times New Roman"/>
          <w:sz w:val="20"/>
          <w:u w:val="single"/>
        </w:rPr>
        <w:t>provided</w:t>
      </w:r>
      <w:r>
        <w:rPr>
          <w:rFonts w:ascii="Times New Roman" w:hAnsi="Times New Roman"/>
          <w:sz w:val="20"/>
        </w:rPr>
        <w:t xml:space="preserve">, that Parent shall not have any obligation to modify any information if Parent reasonably expects that so doing would cause (i) the registration statement to contain an untrue statement of a material fact or omit to state any material fact required to be stated therein or necessary to make the statements therein not misleading or (ii) the prospectus to contain an untrue statement of a material fact or to omit to state a material fact necessary in order to make the statements made, in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(ii) prepare and file with the Commission such amendments and supplements to such registration statement and the prospectus used in connection therewith as may be necessary to keep such registration statement effective pursuant to the terms of this </w:t>
      </w:r>
      <w:r>
        <w:rPr>
          <w:rFonts w:ascii="Times New Roman" w:hAnsi="Times New Roman"/>
          <w:sz w:val="20"/>
          <w:u w:val="single"/>
        </w:rPr>
        <w:t>Article IV</w:t>
      </w:r>
      <w:r>
        <w:rPr>
          <w:rFonts w:ascii="Times New Roman" w:hAnsi="Times New Roman"/>
          <w:sz w:val="20"/>
        </w:rPr>
        <w:t xml:space="preserve">, and comply with the provisions of the Securities Act with respect to the disposition of all securities covered by such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(iii) if requested by the lead managing underwriter(s), if any, or the Holder of any Registrable Securities to be sold in an Underwritten Offering, as promptly as reasonably practicable, include in a prospectus supplement or post-effective amendment such information as the lead managing underwriter(s), if any, and such Holder may reasonably request in order to permit the intended method of distribution of such securities and make all required filings of such prospectus supplement or such post-effective amendment as soon as reasonably practicable after Parent has received such request;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shall not be required to take any actions under this </w:t>
      </w:r>
      <w:r>
        <w:rPr>
          <w:rFonts w:ascii="Times New Roman" w:hAnsi="Times New Roman"/>
          <w:sz w:val="20"/>
          <w:u w:val="single"/>
        </w:rPr>
        <w:t>Section 4.5(a)(iii)</w:t>
      </w:r>
      <w:r>
        <w:rPr>
          <w:rFonts w:ascii="Times New Roman" w:hAnsi="Times New Roman"/>
          <w:sz w:val="20"/>
        </w:rPr>
        <w:t xml:space="preserve"> that are not, in the opinion of counsel for Parent, in compliance with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(iv) furnish to each Holder and each underwriter, if any, of the securities being sold such number of conformed copies of such registration statement and of each amendment and supplement thereto, such number of copies of the prospectus contained in such registration statement (including each preliminary prospectus and any summary prospectus) and each free writing prospectus (as defined in Rule 405 of the Securities Act) (a “</w:t>
      </w:r>
      <w:r>
        <w:rPr>
          <w:rFonts w:ascii="Times New Roman" w:hAnsi="Times New Roman"/>
          <w:b/>
          <w:sz w:val="20"/>
        </w:rPr>
        <w:t>Free Writing Prospectus</w:t>
      </w:r>
      <w:r>
        <w:rPr>
          <w:rFonts w:ascii="Times New Roman" w:hAnsi="Times New Roman"/>
          <w:sz w:val="20"/>
        </w:rPr>
        <w:t xml:space="preserve">”) utilized in connection therewith and any other prospectus filed under Rule 424 under the Securities Act, in conformity with the requirements of the Securities Act, and such other documents as any Holder or the underwriter(s), if any, may reasonably request in order to facilitate the public sale or other disposition of the Registrable Securities; </w:t>
      </w:r>
    </w:p>
    <w:p>
      <w:pPr>
        <w:pStyle w:val="TextBody"/>
        <w:bidi w:val="0"/>
        <w:spacing w:before="120" w:after="0"/>
        <w:jc w:val="left"/>
        <w:rPr>
          <w:rFonts w:ascii="Times New Roman" w:hAnsi="Times New Roman"/>
          <w:sz w:val="20"/>
        </w:rPr>
      </w:pPr>
      <w:r>
        <w:rPr>
          <w:rFonts w:ascii="Times New Roman" w:hAnsi="Times New Roman"/>
          <w:sz w:val="20"/>
        </w:rPr>
        <w:t xml:space="preserve">(v) use commercially reasonable efforts to register or qualify or cooperate with each Holder, the underwriter(s), if any, and their respective counsel in connection with the registration or qualification (or exemption from such registration or qualification) of the Registrable Securities covered by such registration statement under such other securities laws or “blue sky” laws of such jurisdictions as any Holder and any underwriter of the securities being sold shall reasonably request, and to keep each such registration or qualification (or exemption therefrom) effective during the period such registration statement is required to be kept effective and take any other action which may be necessary to enable the Holders and underwriter(s) to consummate the disposition in such jurisdictions of the Registrable Securities, except that Parent shall not for any such purpose be required to (A) qualify generally to do business as a foreign corporation in any jurisdiction wherein it would not but for the requirements of this </w:t>
      </w:r>
      <w:r>
        <w:rPr>
          <w:rFonts w:ascii="Times New Roman" w:hAnsi="Times New Roman"/>
          <w:sz w:val="20"/>
          <w:u w:val="single"/>
        </w:rPr>
        <w:t>Section 4.5(a)(v)</w:t>
      </w:r>
      <w:r>
        <w:rPr>
          <w:rFonts w:ascii="Times New Roman" w:hAnsi="Times New Roman"/>
          <w:sz w:val="20"/>
        </w:rPr>
        <w:t xml:space="preserve"> be obligated to be so qualified, (B) subject itself to taxation in any such jurisdiction or (C) file a general consent to service of process in any such jurisdiction; </w:t>
      </w:r>
    </w:p>
    <w:p>
      <w:pPr>
        <w:pStyle w:val="TextBody"/>
        <w:bidi w:val="0"/>
        <w:spacing w:before="120" w:after="0"/>
        <w:jc w:val="left"/>
        <w:rPr>
          <w:rFonts w:ascii="Times New Roman" w:hAnsi="Times New Roman"/>
          <w:sz w:val="20"/>
        </w:rPr>
      </w:pPr>
      <w:r>
        <w:rPr>
          <w:rFonts w:ascii="Times New Roman" w:hAnsi="Times New Roman"/>
          <w:sz w:val="20"/>
        </w:rPr>
        <w:t xml:space="preserve">(vi) use commercially reasonable efforts to cause such Registrable Securities to be listed on each securities exchange on which similar securities issued by Parent are then listed; </w:t>
      </w:r>
    </w:p>
    <w:p>
      <w:pPr>
        <w:pStyle w:val="TextBody"/>
        <w:bidi w:val="0"/>
        <w:spacing w:before="120" w:after="0"/>
        <w:jc w:val="left"/>
        <w:rPr>
          <w:rFonts w:ascii="Times New Roman" w:hAnsi="Times New Roman"/>
          <w:sz w:val="20"/>
        </w:rPr>
      </w:pPr>
      <w:r>
        <w:rPr>
          <w:rFonts w:ascii="Times New Roman" w:hAnsi="Times New Roman"/>
          <w:sz w:val="20"/>
        </w:rPr>
        <w:t xml:space="preserve">(vii) use commercially reasonable efforts to provide and cause to be maintained a transfer agent and registrar for all Registrable Securities covered by such registration statement from and after a date not later than the effective date of such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(viii) enter into such agreements (including an underwriting agreement in form, scope and substance as is customary in underwritten offerings) and use its commercially reasonable efforts to take all such other actions reasonably requested by the Holders of a majority of the Registrable Securities being sold in connection therewith (including those reasonably requested by the lead managing underwriter(s), if any) to expedite or facilitate the disposition of such Registrable Securities; </w:t>
      </w:r>
    </w:p>
    <w:p>
      <w:pPr>
        <w:pStyle w:val="TextBody"/>
        <w:bidi w:val="0"/>
        <w:spacing w:before="120" w:after="0"/>
        <w:jc w:val="left"/>
        <w:rPr>
          <w:rFonts w:ascii="Times New Roman" w:hAnsi="Times New Roman"/>
          <w:sz w:val="20"/>
        </w:rPr>
      </w:pPr>
      <w:r>
        <w:rPr>
          <w:rFonts w:ascii="Times New Roman" w:hAnsi="Times New Roman"/>
          <w:sz w:val="20"/>
        </w:rPr>
        <w:t xml:space="preserve">(ix) in connection with an Underwritten Offering, use commercially reasonable efforts to obtain for each Holder and underwriter(s), if any, (A) opinions of counsel for Parent, covering the legal matters customarily covered in opinions requested of legal counsel to issuers in underwritten secondary offerings and (B) “comfort” letters and updates thereof (or, in the case of any such Person which does not satisfy the conditions for receipt of a “comfort” letter specified in AS 6101 published by the Public Company Accounting Oversight Board (PCAOB), an “agreed upon procedures” letter) signed by the independent public accountants who have certified Parent’s financial statements and, to the extent required, any other financial statements included in such registration statement, covering the matters customarily covered in “comfort” letters in connection with underwritten offerings;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(x) make available for inspection by each Holder, any underwriter participating in any disposition pursuant to any registration statement, and any attorney, accountant or other agent or representative retained in connection with such offering by any Holder or underwriter (collectively, the “</w:t>
      </w:r>
      <w:r>
        <w:rPr>
          <w:rFonts w:ascii="Times New Roman" w:hAnsi="Times New Roman"/>
          <w:b/>
          <w:sz w:val="20"/>
        </w:rPr>
        <w:t>Inspectors</w:t>
      </w:r>
      <w:r>
        <w:rPr>
          <w:rFonts w:ascii="Times New Roman" w:hAnsi="Times New Roman"/>
          <w:sz w:val="20"/>
        </w:rPr>
        <w:t>”), financial and other records, pertinent corporate documents and instruments of Parent and other relevant information of Parent (collectively, the “</w:t>
      </w:r>
      <w:r>
        <w:rPr>
          <w:rFonts w:ascii="Times New Roman" w:hAnsi="Times New Roman"/>
          <w:b/>
          <w:sz w:val="20"/>
        </w:rPr>
        <w:t>Records</w:t>
      </w:r>
      <w:r>
        <w:rPr>
          <w:rFonts w:ascii="Times New Roman" w:hAnsi="Times New Roman"/>
          <w:sz w:val="20"/>
        </w:rPr>
        <w:t xml:space="preserve">”), as shall be reasonably necessary to enable them to exercise their due diligence responsibility;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shall not be required to provide any information under this </w:t>
      </w:r>
      <w:r>
        <w:rPr>
          <w:rFonts w:ascii="Times New Roman" w:hAnsi="Times New Roman"/>
          <w:sz w:val="20"/>
          <w:u w:val="single"/>
        </w:rPr>
        <w:t>Section 4.5(a)(x)</w:t>
      </w:r>
      <w:r>
        <w:rPr>
          <w:rFonts w:ascii="Times New Roman" w:hAnsi="Times New Roman"/>
          <w:sz w:val="20"/>
        </w:rPr>
        <w:t xml:space="preserve"> if (A) Parent believes, after consultation with counsel for Parent, that to do so would cause Parent to forfeit an attorney-client or other applicable privilege that was applicable to such information or (B) if either (1) Parent has requested and been granted from the Commission confidential treatment of such information contained in any filing with the Commission or documents provided supplementally or otherwise or (2) Parent reasonably determines in good faith that such Records are confidential and so notifies the Inspectors in writing; </w:t>
      </w:r>
      <w:r>
        <w:rPr>
          <w:rFonts w:ascii="Times New Roman" w:hAnsi="Times New Roman"/>
          <w:sz w:val="20"/>
          <w:u w:val="single"/>
        </w:rPr>
        <w:t>unless</w:t>
      </w:r>
      <w:r>
        <w:rPr>
          <w:rFonts w:ascii="Times New Roman" w:hAnsi="Times New Roman"/>
          <w:sz w:val="20"/>
        </w:rPr>
        <w:t xml:space="preserve">, prior to furnishing any such information with respect to clause (1) or (2), each Holder enters into, and causes each of its Inspectors to enter into, a confidentiality agreement on terms and conditions reasonably acceptable to Parent;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each Holder agrees that it will, upon learning that disclosure of such Records is sought in a court of competent jurisdiction or by another Governmental Authority, give notice to Parent and allow Parent, at its expense, to undertake appropriate action seeking to prevent disclosure of the Records deemed confidential; </w:t>
      </w:r>
    </w:p>
    <w:p>
      <w:pPr>
        <w:pStyle w:val="TextBody"/>
        <w:bidi w:val="0"/>
        <w:spacing w:before="120" w:after="0"/>
        <w:jc w:val="left"/>
        <w:rPr>
          <w:rFonts w:ascii="Times New Roman" w:hAnsi="Times New Roman"/>
          <w:sz w:val="20"/>
        </w:rPr>
      </w:pPr>
      <w:r>
        <w:rPr>
          <w:rFonts w:ascii="Times New Roman" w:hAnsi="Times New Roman"/>
          <w:sz w:val="20"/>
        </w:rPr>
        <w:t xml:space="preserve">(xi) as promptly as practicable notify each Holder and the underwriter(s), if any, of the following events: (A) the filing of the registration statement, any amendment thereto, the prospectus or any prospectus supplement related thereto or post-effective amendment to the registration statement or any Free Writing Prospectus utilized in connection therewith, and, with respect to the registration statement or any post-effective amendment thereto, when the same has become effective; (B) any request by the Commission or any other U.S. or state Governmental Authority for amendments or supplements to the registration statement or the prospectus or for additional information; (C) the issuance by the Commission of any stop order suspending the effectiveness of the registration statement or the initiation of any proceedings by any Person for that purpose; (D) the receipt by Parent of any notification with respect to the suspension of the qualification of any Registrable Securities for sale under the securities or “blue sky” laws of any jurisdiction or the initiation or threat of any proceeding for such purpose; (E) if at any time the representations and warranties of Parent contained in any underwriting agreement contemplated by </w:t>
      </w:r>
      <w:r>
        <w:rPr>
          <w:rFonts w:ascii="Times New Roman" w:hAnsi="Times New Roman"/>
          <w:sz w:val="20"/>
          <w:u w:val="single"/>
        </w:rPr>
        <w:t>Section 4.5(a)(viii)</w:t>
      </w:r>
      <w:r>
        <w:rPr>
          <w:rFonts w:ascii="Times New Roman" w:hAnsi="Times New Roman"/>
          <w:sz w:val="20"/>
        </w:rPr>
        <w:t xml:space="preserve"> cease to be true and correct in any material respect; and (F) upon becoming aware of the happening of any event that makes any statement made in such registration statement or related prospectus or any document incorporated or deemed to be incorporated therein by reference untrue in any material respect or that requires the making of any changes in such registration statement, prospectus or 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it will not contain any untrue statement of a material fact or omit to state any material fact necessary in order to make the statements therein, in light of the circumstances under which they were made, not misleading, and, at the request of any Holder, promptly prepare and furnish to such Holder a reasonable number of copies of a supplement to or an amendment of such registration statement or prospectus as may be necessary so that, as thereafter delivered to the purchasers of such Registrable Securities, such prospectus shall not include an untrue statement of a material fact or omit to state a material fact required to be stated therein or necessary to make the statements therein, in light of the circumstances under which they were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 use commercially reasonable efforts to obtain the withdrawal of any order suspending the effectiveness of such registration statement, or the lifting of any suspension of the qualification (or exemption from qualification) of any of the Registrable Securities for sale in any jurisdiction at the earliest reasonably practicable date, except that Parent shall not for any such purpose be required to (A) qualify generally to do business as a foreign corporation in any jurisdiction wherein it would not but for the requirements of this </w:t>
      </w:r>
      <w:r>
        <w:rPr>
          <w:rFonts w:ascii="Times New Roman" w:hAnsi="Times New Roman"/>
          <w:sz w:val="20"/>
          <w:u w:val="single"/>
        </w:rPr>
        <w:t>Section 4.5(a)(xii)</w:t>
      </w:r>
      <w:r>
        <w:rPr>
          <w:rFonts w:ascii="Times New Roman" w:hAnsi="Times New Roman"/>
          <w:sz w:val="20"/>
        </w:rPr>
        <w:t xml:space="preserve"> be obligated to be so qualified, (B) subject itself to taxation in any such jurisdiction or (C) file a general consent to service of process in any such jurisdiction; </w:t>
      </w:r>
    </w:p>
    <w:p>
      <w:pPr>
        <w:pStyle w:val="TextBody"/>
        <w:bidi w:val="0"/>
        <w:spacing w:before="120" w:after="0"/>
        <w:jc w:val="left"/>
        <w:rPr>
          <w:rFonts w:ascii="Times New Roman" w:hAnsi="Times New Roman"/>
          <w:sz w:val="20"/>
        </w:rPr>
      </w:pPr>
      <w:r>
        <w:rPr>
          <w:rFonts w:ascii="Times New Roman" w:hAnsi="Times New Roman"/>
          <w:sz w:val="20"/>
        </w:rPr>
        <w:t xml:space="preserve">(xiii) cooperate with each Holder and the lead managing underwriter(s) to facilitate the timely preparation and delivery of certificates (which shall not bear any restrictive legends unless required under Applicable Law) representing securities sold under any registration statement, and enable such securities to be in such denominations and registered in such names as the lead managing underwriter(s) or any Holder may request and keep available and make available to Parent’s transfer agent prior to the effectiveness of such registration statement a supply of such certificates; </w:t>
      </w:r>
    </w:p>
    <w:p>
      <w:pPr>
        <w:pStyle w:val="TextBody"/>
        <w:bidi w:val="0"/>
        <w:spacing w:before="120" w:after="0"/>
        <w:jc w:val="left"/>
        <w:rPr>
          <w:rFonts w:ascii="Times New Roman" w:hAnsi="Times New Roman"/>
          <w:sz w:val="20"/>
        </w:rPr>
      </w:pPr>
      <w:r>
        <w:rPr>
          <w:rFonts w:ascii="Times New Roman" w:hAnsi="Times New Roman"/>
          <w:sz w:val="20"/>
        </w:rPr>
        <w:t xml:space="preserve">(xiv) cooperate with each Holder and each underwriter or agent participating in the disposition of any Registrable Securities and their respective counsel in connection with any filings required to be made with FINRA; and </w:t>
      </w:r>
    </w:p>
    <w:p>
      <w:pPr>
        <w:pStyle w:val="TextBody"/>
        <w:bidi w:val="0"/>
        <w:spacing w:before="120" w:after="0"/>
        <w:jc w:val="left"/>
        <w:rPr>
          <w:rFonts w:ascii="Times New Roman" w:hAnsi="Times New Roman"/>
          <w:sz w:val="20"/>
        </w:rPr>
      </w:pPr>
      <w:r>
        <w:rPr>
          <w:rFonts w:ascii="Times New Roman" w:hAnsi="Times New Roman"/>
          <w:sz w:val="20"/>
        </w:rPr>
        <w:t xml:space="preserve">(xv) have appropriate officers of Parent prepare and make presentations at a reasonable and customary number of “road shows” and before analysts and rating agencies, as the case may be, and other information meetings reasonably organized by the underwriter(s) and otherwise use its commercially reasonable efforts to cooperate as reasonably requested by any Holder and the underwriter(s) in the offering, marketing or selling of the Registrable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(b) Parent may require each Holder and each underwriter, if any, to furnish Parent in writing such information regarding such Holder or underwriter and the distribution of such Registrable Securities as Parent may from time to time reasonably request in writing to complete or amend the information required by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(c) Each Holder shall as promptly as practicable notify in writing Parent and the underwriter(s), if any, with respect to any registered offering of Registrable Securities if at any time the representations and warranties of such Holder contained in any underwriting agreement cease to be true and correct in any material respect and upon becoming aware of the happening of any event that makes any statement made in such registration statement or related prospectus or any document incorporated or deemed to be incorporated therein by reference, to the extent based on information provided by such Holder, untrue in any material respect or that requires the making of any changes in such registration statement, prospectus or 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it will not contain any untrue statement of a material fact or omit to state any material fact necessary in order to make the statements therein, in light of the circumstances under which they were made, not misleading, in each case to the extent based on information provided by such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Each Holder agrees that upon receipt of any notice from Parent of the happening of any event of the kind described in clauses (B), (C), (D), (E) and (F) of </w:t>
      </w:r>
      <w:r>
        <w:rPr>
          <w:rFonts w:ascii="Times New Roman" w:hAnsi="Times New Roman"/>
          <w:sz w:val="20"/>
          <w:u w:val="single"/>
        </w:rPr>
        <w:t>Section 4.5(a)(xi)</w:t>
      </w:r>
      <w:r>
        <w:rPr>
          <w:rFonts w:ascii="Times New Roman" w:hAnsi="Times New Roman"/>
          <w:sz w:val="20"/>
        </w:rPr>
        <w:t xml:space="preserve">, such Holder shall forthwith discontinue its disposition of Registrable Securities pursuant to the applicable registration statement and prospectus relating thereto until it receives copies of the supplemented or amended prospectus contemplated by </w:t>
      </w:r>
      <w:r>
        <w:rPr>
          <w:rFonts w:ascii="Times New Roman" w:hAnsi="Times New Roman"/>
          <w:sz w:val="20"/>
          <w:u w:val="single"/>
        </w:rPr>
        <w:t>Section 4.5(a)(xi)</w:t>
      </w:r>
      <w:r>
        <w:rPr>
          <w:rFonts w:ascii="Times New Roman" w:hAnsi="Times New Roman"/>
          <w:sz w:val="20"/>
        </w:rPr>
        <w:t xml:space="preserve">, or until it is advised in writing by Parent that the use of the applicable prospectus may be resumed, and has received copies of any additional or supplemental filings that are incorporated or deemed to be incorporated by reference in such prospectus;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shall extend the time periods under </w:t>
      </w:r>
      <w:r>
        <w:rPr>
          <w:rFonts w:ascii="Times New Roman" w:hAnsi="Times New Roman"/>
          <w:sz w:val="20"/>
          <w:u w:val="single"/>
        </w:rPr>
        <w:t>Section 4.1(c)</w:t>
      </w:r>
      <w:r>
        <w:rPr>
          <w:rFonts w:ascii="Times New Roman" w:hAnsi="Times New Roman"/>
          <w:sz w:val="20"/>
        </w:rPr>
        <w:t xml:space="preserve"> with respect to the length of time that the effectiveness of a registration statement must be maintained by the amount of time such Holder is required to discontinue disposition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(e) With a view to making available to the Holders the benefits of Rule 144 under the Securities Act and any other rule or regulation of the Commission that may at any time permit a Holder to sell securities of Parent to the public without registration or pursuant to a registration on Form S-3 (or any successor form), Parent shall: </w:t>
      </w:r>
    </w:p>
    <w:p>
      <w:pPr>
        <w:pStyle w:val="TextBody"/>
        <w:bidi w:val="0"/>
        <w:spacing w:before="120" w:after="0"/>
        <w:jc w:val="left"/>
        <w:rPr>
          <w:rFonts w:ascii="Times New Roman" w:hAnsi="Times New Roman"/>
          <w:sz w:val="20"/>
        </w:rPr>
      </w:pPr>
      <w:r>
        <w:rPr>
          <w:rFonts w:ascii="Times New Roman" w:hAnsi="Times New Roman"/>
          <w:sz w:val="20"/>
        </w:rPr>
        <w:t xml:space="preserve">(i) use commercially reasonable efforts to make and keep public information available, as those terms are understood and defined in Rule 144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(ii) use commercially reasonable efforts to file with the Commission in a timely manner all reports and other documents required of Parent under the Exchange Act, at any time when Parent is subject to such reporting requirements; and </w:t>
      </w:r>
    </w:p>
    <w:p>
      <w:pPr>
        <w:pStyle w:val="TextBody"/>
        <w:bidi w:val="0"/>
        <w:spacing w:before="120" w:after="0"/>
        <w:jc w:val="left"/>
        <w:rPr>
          <w:rFonts w:ascii="Times New Roman" w:hAnsi="Times New Roman"/>
          <w:sz w:val="20"/>
        </w:rPr>
      </w:pPr>
      <w:r>
        <w:rPr>
          <w:rFonts w:ascii="Times New Roman" w:hAnsi="Times New Roman"/>
          <w:sz w:val="20"/>
        </w:rPr>
        <w:t xml:space="preserve">(iii) furnish to any Holder, promptly upon request, a written statement by Parent as to its compliance with the reporting requirements of Rule 144 under the Securities Act and of the Exchange Act, a copy of the most recent annual or quarterly report of Parent, and such other reports and documents so filed or furnished by Parent with the Commission as such Holder may reasonably request in connection with the sale of Registrable Securities without registration (in each case to the extent not readily publicly available). </w:t>
      </w:r>
    </w:p>
    <w:p>
      <w:pPr>
        <w:pStyle w:val="TextBody"/>
        <w:bidi w:val="0"/>
        <w:spacing w:before="240" w:after="0"/>
        <w:jc w:val="left"/>
        <w:rPr>
          <w:rFonts w:ascii="Times New Roman" w:hAnsi="Times New Roman"/>
          <w:sz w:val="20"/>
        </w:rPr>
      </w:pPr>
      <w:r>
        <w:rPr>
          <w:rFonts w:ascii="Times New Roman" w:hAnsi="Times New Roman"/>
          <w:b/>
          <w:sz w:val="20"/>
        </w:rPr>
        <w:t>4.6</w:t>
      </w:r>
      <w:r>
        <w:rPr>
          <w:rFonts w:ascii="Times New Roman" w:hAnsi="Times New Roman"/>
          <w:sz w:val="20"/>
        </w:rPr>
        <w:t xml:space="preserve"> </w:t>
      </w:r>
      <w:r>
        <w:rPr>
          <w:rFonts w:ascii="Times New Roman" w:hAnsi="Times New Roman"/>
          <w:b/>
          <w:sz w:val="20"/>
        </w:rPr>
        <w:t>Registration Expenses</w:t>
      </w:r>
      <w:r>
        <w:rPr>
          <w:rFonts w:ascii="Times New Roman" w:hAnsi="Times New Roman"/>
          <w:sz w:val="20"/>
        </w:rPr>
        <w:t xml:space="preserve">. All fees and expenses incident to Parent’s performance of its obligations under this </w:t>
      </w:r>
      <w:r>
        <w:rPr>
          <w:rFonts w:ascii="Times New Roman" w:hAnsi="Times New Roman"/>
          <w:sz w:val="20"/>
          <w:u w:val="single"/>
        </w:rPr>
        <w:t>Article IV</w:t>
      </w:r>
      <w:r>
        <w:rPr>
          <w:rFonts w:ascii="Times New Roman" w:hAnsi="Times New Roman"/>
          <w:sz w:val="20"/>
        </w:rPr>
        <w:t xml:space="preserve">, including (a) all registration and filing fees, including all fees and expenses of compliance with securities and “blue sky” laws and all fees and expenses associated with filings required to be made with FINRA (including, if applicable, the fees and expenses of any “qualified independent underwriter” as such term is defined in FINRA Rule 5121), (b) all printing (including expenses of printing certificates for the Registrable Securities in a form eligible for deposit with the Depository Trust Company and of printing prospectuses if the printing of prospectuses is requested by any Holder) and copying expenses, (c) all messenger, telephone and delivery expenses, (d) all fees and expenses of Parent’s independent certified public accountants and counsel (including with respect to “comfort” letters and opinions) and (e) expenses of Parent incurred in connection with any “road show” shall be borne solely by Parent whether or not any registration statement is filed or becomes effective. Each Holder shall pay (i) all underwriters’, brokers’ or dealers’ discounts or commissions and transfer taxes, if any, relating to the sale of such Holder’s Registrable Securities pursuant to any registration, (ii) all underwriters’, brokers’ or dealers’ expenses, including road show and travel expenses and (iii) the legal fees and expenses of its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4.7 Miscellaneous. </w:t>
      </w:r>
    </w:p>
    <w:p>
      <w:pPr>
        <w:pStyle w:val="TextBody"/>
        <w:bidi w:val="0"/>
        <w:spacing w:before="240" w:after="0"/>
        <w:jc w:val="left"/>
        <w:rPr>
          <w:rFonts w:ascii="Times New Roman" w:hAnsi="Times New Roman"/>
          <w:sz w:val="20"/>
        </w:rPr>
      </w:pPr>
      <w:r>
        <w:rPr>
          <w:rFonts w:ascii="Times New Roman" w:hAnsi="Times New Roman"/>
          <w:sz w:val="20"/>
        </w:rPr>
        <w:t>(a) Not less than five Business Days before the expected filing date of each registration statement pursuant to this Agreement, Parent shall notify each Holder, if such Holder has timely provided the requisite notice hereunder entitling it to register Registrable Securities in such registration statement, of the information, documents and instruments from such Holder that Parent or any underwriter reasonably requests in connection with such registration statement, including a questionnaire, custody agreement, power of attorney, lock-up letter and underwriting agreement (the “</w:t>
      </w:r>
      <w:r>
        <w:rPr>
          <w:rFonts w:ascii="Times New Roman" w:hAnsi="Times New Roman"/>
          <w:b/>
          <w:sz w:val="20"/>
        </w:rPr>
        <w:t>Requested Information</w:t>
      </w:r>
      <w:r>
        <w:rPr>
          <w:rFonts w:ascii="Times New Roman" w:hAnsi="Times New Roman"/>
          <w:sz w:val="20"/>
        </w:rPr>
        <w:t xml:space="preserve">”). If Parent has not received, on or before the second Business Day before the expected filing date, the Requested Information from any Holder, Parent may file the registration statement without including Registrable Securities of such Holder. The failure to so include in any registration statement the Registrable Securities of a Holder (with regard to that registration statement) shall not result in any liability on the part of Parent to such Holder.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in this </w:t>
      </w:r>
      <w:r>
        <w:rPr>
          <w:rFonts w:ascii="Times New Roman" w:hAnsi="Times New Roman"/>
          <w:sz w:val="20"/>
          <w:u w:val="single"/>
        </w:rPr>
        <w:t>Article IV</w:t>
      </w:r>
      <w:r>
        <w:rPr>
          <w:rFonts w:ascii="Times New Roman" w:hAnsi="Times New Roman"/>
          <w:sz w:val="20"/>
        </w:rPr>
        <w:t xml:space="preserve"> to the contrary, Parent shall be entitled to (x) defer any registration of Registrable Securities and shall have the right not to file and not to cause the effectiveness of any registration covering any Registrable Securities, (y) suspend the use of any prospectus and registration statement covering any Registrable Securities and (z) require the Holders to suspend any offerings or sales of Registrable Securities pursuant to a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on up to two occasions in any 12-month period, for a period of time not to exceed 60 days in each instance, if Parent delivers to each Holder a certificate signed by an executive officer certifying that such registration and offering would (A) require Parent to make an Adverse Disclosure or (B) materially interfere with any bona fide material financing, acquisition, disposition or other similar transaction involving Parent or any of its Subsidiaries then under consideration; </w:t>
      </w:r>
      <w:r>
        <w:rPr>
          <w:rFonts w:ascii="Times New Roman" w:hAnsi="Times New Roman"/>
          <w:sz w:val="20"/>
          <w:u w:val="single"/>
        </w:rPr>
        <w:t>provided</w:t>
      </w:r>
      <w:r>
        <w:rPr>
          <w:rFonts w:ascii="Times New Roman" w:hAnsi="Times New Roman"/>
          <w:sz w:val="20"/>
        </w:rPr>
        <w:t xml:space="preserve">, that such certificate shall contain a statement of the reasons for such suspension and an approximation of the anticipated length of such suspension;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each Holder shall keep the information contained in such certificate confidential subject to the same terms set forth in </w:t>
      </w:r>
      <w:r>
        <w:rPr>
          <w:rFonts w:ascii="Times New Roman" w:hAnsi="Times New Roman"/>
          <w:sz w:val="20"/>
          <w:u w:val="single"/>
        </w:rPr>
        <w:t>Section 1.4</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(ii) during (A) any regular quarterly “blackout” period under Parent’s insider trading policy then in effect, (B) any period during which the registration statement or related prospectus contains, or must be amended or supplemented to correct, any untrue statement or omission of a material fact or to comply with the Securities Act or the Exchange Act, or (C) the pendency of any Commission stop order, or proceedings under Section 8(d) or 8(e) of the Securities Act, with respect to any registration statement covering Registrable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(c) The legend or, in the case of shares held in book-entry or uncertificated form, any restrictive notation, on any shares of Parent Common Stock covered by this Agreement shall be removed if (x) such shares are no longer subject to the Restricted Period, whether by expiration thereof or release therefrom pursuant to </w:t>
      </w:r>
      <w:r>
        <w:rPr>
          <w:rFonts w:ascii="Times New Roman" w:hAnsi="Times New Roman"/>
          <w:sz w:val="20"/>
          <w:u w:val="single"/>
        </w:rPr>
        <w:t>Section 2.1(a)</w:t>
      </w:r>
      <w:r>
        <w:rPr>
          <w:rFonts w:ascii="Times New Roman" w:hAnsi="Times New Roman"/>
          <w:sz w:val="20"/>
        </w:rPr>
        <w:t xml:space="preserve"> and (y) (i) such shares are sold pursuant to an effective registration statement, (ii) a registration statement covering the resale of such shares is effective under the Securities Act and the applicable Holder of such shares delivers to Parent a representation letter in form and substance reasonably satisfactory to Parent agreeing that such shares will be sold only under such effective registration statement or in compliance with Rule 144 or another exemption from registration under the Securities Act, (iii) such shares may be sold by the Holder thereof free of restrictions pursuant to Rule 144(b) under the Securities Act, or (iv) such shares are being sold, assigned or otherwise transferred pursuant to Rule 144 under the Securities Act; </w:t>
      </w:r>
      <w:r>
        <w:rPr>
          <w:rFonts w:ascii="Times New Roman" w:hAnsi="Times New Roman"/>
          <w:sz w:val="20"/>
          <w:u w:val="single"/>
        </w:rPr>
        <w:t>provided</w:t>
      </w:r>
      <w:r>
        <w:rPr>
          <w:rFonts w:ascii="Times New Roman" w:hAnsi="Times New Roman"/>
          <w:sz w:val="20"/>
        </w:rPr>
        <w:t xml:space="preserve">, that with respect to clause (iii) or (iv) above, the Holder of such shares has provided all necessary documentation and evidence (which may include an opinion of counsel) and agreed to such other procedures as may reasonably be required by Parent to confirm that the legend or notation may be removed under applicable securities law. Parent shall cooperate with the applicable Holder of shares covered by this Agreement to effect removal of the legend or notation on such shares pursuant to this </w:t>
      </w:r>
      <w:r>
        <w:rPr>
          <w:rFonts w:ascii="Times New Roman" w:hAnsi="Times New Roman"/>
          <w:sz w:val="20"/>
          <w:u w:val="single"/>
        </w:rPr>
        <w:t>Section 4.7(c)</w:t>
      </w:r>
      <w:r>
        <w:rPr>
          <w:rFonts w:ascii="Times New Roman" w:hAnsi="Times New Roman"/>
          <w:sz w:val="20"/>
        </w:rPr>
        <w:t xml:space="preserve"> as soon as reasonably practicable after delivery of notice from such Holder that the conditions to removal are satisfied (together with any documentation required to be delivered by such Holder pursuant to the immediately preceding sentence). Parent shall bear all direct costs and expenses associated with the removal of a legend or notation pursuant to this </w:t>
      </w:r>
      <w:r>
        <w:rPr>
          <w:rFonts w:ascii="Times New Roman" w:hAnsi="Times New Roman"/>
          <w:sz w:val="20"/>
          <w:u w:val="single"/>
        </w:rPr>
        <w:t>Section 4.7(c)</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applicable Holder shall be responsible for all legal fees and expenses of counsel incurred by such Holder with respect to delivering the legal opinion to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4.8 Registration Indemnification. </w:t>
      </w:r>
    </w:p>
    <w:p>
      <w:pPr>
        <w:pStyle w:val="TextBody"/>
        <w:bidi w:val="0"/>
        <w:spacing w:before="240" w:after="0"/>
        <w:jc w:val="left"/>
        <w:rPr>
          <w:rFonts w:ascii="Times New Roman" w:hAnsi="Times New Roman"/>
          <w:sz w:val="20"/>
        </w:rPr>
      </w:pPr>
      <w:r>
        <w:rPr>
          <w:rFonts w:ascii="Times New Roman" w:hAnsi="Times New Roman"/>
          <w:sz w:val="20"/>
        </w:rPr>
        <w:t>(a) Parent agrees to indemnify and hold harmless, to the fullest extent permitted by Applicable Law, each Holder and its Affiliates and their respective current and former officers, directors, employees, accountants, attorneys and agents and each Person who controls (within the meaning of Section 15 of the Securities Act and Section 20 of the Exchange Act) such Holder or such other indemnified Person and the current and former officers, directors, employees, accountants, attorneys and agents of each such controlling Person (collectively, the “</w:t>
      </w:r>
      <w:r>
        <w:rPr>
          <w:rFonts w:ascii="Times New Roman" w:hAnsi="Times New Roman"/>
          <w:b/>
          <w:sz w:val="20"/>
        </w:rPr>
        <w:t>Parent Indemnified Parties</w:t>
      </w:r>
      <w:r>
        <w:rPr>
          <w:rFonts w:ascii="Times New Roman" w:hAnsi="Times New Roman"/>
          <w:sz w:val="20"/>
        </w:rPr>
        <w:t>”) from and against all losses, claims, damages, liabilities, costs, expenses (including reasonable expenses of investigation and reasonable and documented attorneys’ fees and expenses), judgments, fines, penalties, charges and amounts paid in settlement and other liabilities, joint or several (or actions in respect thereof) (collectively, the “</w:t>
      </w:r>
      <w:r>
        <w:rPr>
          <w:rFonts w:ascii="Times New Roman" w:hAnsi="Times New Roman"/>
          <w:b/>
          <w:sz w:val="20"/>
        </w:rPr>
        <w:t>Losses</w:t>
      </w:r>
      <w:r>
        <w:rPr>
          <w:rFonts w:ascii="Times New Roman" w:hAnsi="Times New Roman"/>
          <w:sz w:val="20"/>
        </w:rPr>
        <w:t xml:space="preserve">”), as incurred, arising out of or resulting from any untrue statement (or alleged untrue statement) of a material fact contained in any registration statement, prospectus or preliminary prospectus or Free Writing Prospectus filed pursuant to this Agreement or any amendment or supplement thereto or any omission (or alleged omission) of a material fact required to be stated therein or necessary to make the statements therein, in light of the circumstances under which they were made, not misleading and (without limitation of the preceding portions of this </w:t>
      </w:r>
      <w:r>
        <w:rPr>
          <w:rFonts w:ascii="Times New Roman" w:hAnsi="Times New Roman"/>
          <w:sz w:val="20"/>
          <w:u w:val="single"/>
        </w:rPr>
        <w:t>Section 4.8(a)</w:t>
      </w:r>
      <w:r>
        <w:rPr>
          <w:rFonts w:ascii="Times New Roman" w:hAnsi="Times New Roman"/>
          <w:sz w:val="20"/>
        </w:rPr>
        <w:t xml:space="preserve">) will reimburse each Parent Indemnified Party for any reasonable and documented legal and any other expenses reasonably incurred in connection with investigating and defending or settling any such claim, Loss, damage, liability or action, except in each case insofar as the same are caused by any information furnished to Parent by any other party expressly for use therein. </w:t>
      </w:r>
    </w:p>
    <w:p>
      <w:pPr>
        <w:pStyle w:val="TextBody"/>
        <w:bidi w:val="0"/>
        <w:spacing w:before="240" w:after="0"/>
        <w:jc w:val="left"/>
        <w:rPr>
          <w:rFonts w:ascii="Times New Roman" w:hAnsi="Times New Roman"/>
          <w:sz w:val="20"/>
        </w:rPr>
      </w:pPr>
      <w:r>
        <w:rPr>
          <w:rFonts w:ascii="Times New Roman" w:hAnsi="Times New Roman"/>
          <w:sz w:val="20"/>
        </w:rPr>
        <w:t>(b) To the fullest extent permitted by Applicable Law, each Holder will, if Registrable Securities held by such Holder are included in securities as to which registration is being effected, indemnify and hold harmless Parent and its Affiliates and their respective current and former officers, directors, employees, accountants, attorneys and agents and each Person who controls (within the meaning of Section 15 of the Securities Act and Section 20 of the Exchange Act) Parent or such other indemnified Person and the current and former officers, directors, employees, accountants, attorneys and agents of each such controlling Person (collectively, the “</w:t>
      </w:r>
      <w:r>
        <w:rPr>
          <w:rFonts w:ascii="Times New Roman" w:hAnsi="Times New Roman"/>
          <w:b/>
          <w:sz w:val="20"/>
        </w:rPr>
        <w:t>Holder Indemnified Parties</w:t>
      </w:r>
      <w:r>
        <w:rPr>
          <w:rFonts w:ascii="Times New Roman" w:hAnsi="Times New Roman"/>
          <w:sz w:val="20"/>
        </w:rPr>
        <w:t xml:space="preserve">”), from and against all Losses, as incurred, arising out of or resulting from any untrue statement (or alleged untrue statement) of material fact contained in any registration statement, prospectus or preliminary prospectus or Free Writing Prospectus filed pursuant to this Agreement or any amendment or supplement thereto or any omission (or alleged omission) of a material fact required to be stated therein or necessary to make the statements therein, in light of the circumstances under which they were made, not misleading, and (without limitation of the preceding portions of this </w:t>
      </w:r>
      <w:r>
        <w:rPr>
          <w:rFonts w:ascii="Times New Roman" w:hAnsi="Times New Roman"/>
          <w:sz w:val="20"/>
          <w:u w:val="single"/>
        </w:rPr>
        <w:t>Section 4.8(b)</w:t>
      </w:r>
      <w:r>
        <w:rPr>
          <w:rFonts w:ascii="Times New Roman" w:hAnsi="Times New Roman"/>
          <w:sz w:val="20"/>
        </w:rPr>
        <w:t xml:space="preserve">) will reimburse each Holder Indemnified Party for any reasonable and documented legal and any other expenses reasonably incurred in connection with investigating and defending or settling any such claim, Loss, damage, liability or action, in each case to the extent, but only to the extent, that such untrue statement or omission is made in such registration statement, prospectus or preliminary prospectus or Free Writing Prospectus or any amendment or supplement thereto in reliance upon and in conformity with information furnished to Parent by the Holder expressly for inclusion in such registration statement, prospectus or preliminary prospectus or Free Writing Prospectus or any amendment or supplement thereto;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any indemnity under this </w:t>
      </w:r>
      <w:r>
        <w:rPr>
          <w:rFonts w:ascii="Times New Roman" w:hAnsi="Times New Roman"/>
          <w:sz w:val="20"/>
          <w:u w:val="single"/>
        </w:rPr>
        <w:t>Section 4.8(b)</w:t>
      </w:r>
      <w:r>
        <w:rPr>
          <w:rFonts w:ascii="Times New Roman" w:hAnsi="Times New Roman"/>
          <w:sz w:val="20"/>
        </w:rPr>
        <w:t xml:space="preserve"> payable by any Holder exceed an amount equal to the net proceeds received by such Holder in respect of the Registrable Securities sold pursuant to the relevant registration statement. The indemnity agreement contained in this </w:t>
      </w:r>
      <w:r>
        <w:rPr>
          <w:rFonts w:ascii="Times New Roman" w:hAnsi="Times New Roman"/>
          <w:sz w:val="20"/>
          <w:u w:val="single"/>
        </w:rPr>
        <w:t>Section 4.8(b)</w:t>
      </w:r>
      <w:r>
        <w:rPr>
          <w:rFonts w:ascii="Times New Roman" w:hAnsi="Times New Roman"/>
          <w:sz w:val="20"/>
        </w:rPr>
        <w:t xml:space="preserve"> shall not apply to amounts paid in settlement of any loss, claim, damage, liability or action if such settlement is effected without the prior written consent of the applicable Holder (which consent shall not be unreasonably withheld or delayed).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Any Person entitled to indemnification hereunder shall give prompt written notice to the indemnifying party of any claim with respect to which it seeks indemnification;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failure to give such notice shall not release the indemnifying party from its obligation, except to the extent that the indemnifying party has been actually and materially prejudiced by such failure to provide such notice on a timely basis. </w:t>
      </w:r>
    </w:p>
    <w:p>
      <w:pPr>
        <w:pStyle w:val="TextBody"/>
        <w:bidi w:val="0"/>
        <w:spacing w:before="240" w:after="0"/>
        <w:jc w:val="left"/>
        <w:rPr>
          <w:rFonts w:ascii="Times New Roman" w:hAnsi="Times New Roman"/>
          <w:sz w:val="20"/>
        </w:rPr>
      </w:pPr>
      <w:r>
        <w:rPr>
          <w:rFonts w:ascii="Times New Roman" w:hAnsi="Times New Roman"/>
          <w:sz w:val="20"/>
        </w:rPr>
        <w:t xml:space="preserve">(d) In any case in which an action is brought against any indemnified party under this </w:t>
      </w:r>
      <w:r>
        <w:rPr>
          <w:rFonts w:ascii="Times New Roman" w:hAnsi="Times New Roman"/>
          <w:sz w:val="20"/>
          <w:u w:val="single"/>
        </w:rPr>
        <w:t>Section 4.8</w:t>
      </w:r>
      <w:r>
        <w:rPr>
          <w:rFonts w:ascii="Times New Roman" w:hAnsi="Times New Roman"/>
          <w:sz w:val="20"/>
        </w:rPr>
        <w:t xml:space="preserve">, the indemnifying party will be entitled to participate therein, and, to the extent that it may wish, to assume the defense thereof, with counsel reasonably satisfactory to such indemnified party, and after notice from the indemnifying party to such indemnified party of its election to so assume the defense thereof and acknowledging the obligations of the indemnifying party with respect to such proceeding, the indemnifying party will not (so long as it shall continue to have the right to defend, contest, litigate and settle the matter in question in accordance with this paragraph) be liable to such indemnified party hereunder for any legal or other expense subsequently incurred by such indemnified party in connection with the defense thereof other than reasonable costs of investigation, supervision and monitoring (unless (i) such indemnified party (based upon advice of its counsel) reasonably objects to such assumption on the grounds that there may be defenses available to it which are different from or in addition to the defenses available to such indemnifying party and, as a result, a conflict of interest exists or (ii) the indemnifying party shall have failed within a reasonable period of time to assume such defense and the indemnified party is or would reasonably be expected to be materially prejudiced by such delay, in either event the indemnified party shall be promptly reimbursed by the indemnifying party for the reasonable expenses incurred in connection with retaining one separate legal counsel (for all indemnified parties in connection therewith)). Notwithstanding any such assumption by an indemnifying party, the indemnified party shall have the right to employ separate counsel in any such matter and participate in the defense thereof, but the fees and expenses of such counsel shall be at the expense of such indemnified party except as provided in the previous sentence. An indemnifying party shall not be liable for any settlement of an action or claim effected without its consent. No matter shall be settled by an indemnifying party without the consent of the indemnified party (which consent shall not be unreasonably withheld, conditioned or delayed), unless such settlement (A) includes as an unconditional term thereof the giving by the claimant or plaintiff to such indemnified party of a release from all liability in respect to such claim or litigation, (B) does not include any statement as to or any admission of fault, culpability or a failure to act by or on behalf of any indemnified party and (C) does not involve any injunctive or equitable relief that would be binding on the indemnified party or any payment that is not covered by the indemnification hereunder. </w:t>
      </w:r>
    </w:p>
    <w:p>
      <w:pPr>
        <w:pStyle w:val="TextBody"/>
        <w:bidi w:val="0"/>
        <w:spacing w:before="240" w:after="0"/>
        <w:jc w:val="left"/>
        <w:rPr>
          <w:rFonts w:ascii="Times New Roman" w:hAnsi="Times New Roman"/>
          <w:sz w:val="20"/>
        </w:rPr>
      </w:pPr>
      <w:r>
        <w:rPr>
          <w:rFonts w:ascii="Times New Roman" w:hAnsi="Times New Roman"/>
          <w:sz w:val="20"/>
        </w:rPr>
        <w:t xml:space="preserve">(e) The indemnification provided for under this Agreement shall survive the Transfer of the Registrable Securities and the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If recovery is not available under the foregoing indemnification provisions for any reason or reasons other than as specified therein, any Person who would otherwise be entitled to indemnification by the terms thereof shall nevertheless be entitled to contribution with respect to any Losses with respect to which such Person would be entitled to such indemnification but for such reason or reasons, in such proportion as is appropriate to reflect the relative fault of the indemnifying party, on the one hand, and such indemnified party, on the other hand, in connection with the actions, statements or omissions that resulted in such Losses as well as any other relevant equitable considerations.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the Persons’ relative knowledge and access to information concerning the matter with respect to which the claim was asserted, the opportunity to correct and prevent any statement or omission, and other equitable considerations appropriate under the circumstances. It is hereby agreed that it would not necessarily be equitable if the amount of such contribution were determined by </w:t>
      </w:r>
      <w:r>
        <w:rPr>
          <w:rFonts w:ascii="Times New Roman" w:hAnsi="Times New Roman"/>
          <w:i/>
          <w:sz w:val="20"/>
        </w:rPr>
        <w:t>pro rata</w:t>
      </w:r>
      <w:r>
        <w:rPr>
          <w:rFonts w:ascii="Times New Roman" w:hAnsi="Times New Roman"/>
          <w:sz w:val="20"/>
        </w:rPr>
        <w:t xml:space="preserve"> or per capita allocation. No Person guilty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fraudulent misrepresentation (within the meaning of Section 11(f) of the Securities Act) shall be entitled to contribution from any Person who was not found guilty of such fraudulent misrepresentation. Notwithstanding the foregoing, in no event shall any contribution payable by any Holder under this </w:t>
      </w:r>
      <w:r>
        <w:rPr>
          <w:rFonts w:ascii="Times New Roman" w:hAnsi="Times New Roman"/>
          <w:sz w:val="20"/>
          <w:u w:val="single"/>
        </w:rPr>
        <w:t>Section 4.8(f)</w:t>
      </w:r>
      <w:r>
        <w:rPr>
          <w:rFonts w:ascii="Times New Roman" w:hAnsi="Times New Roman"/>
          <w:sz w:val="20"/>
        </w:rPr>
        <w:t xml:space="preserve"> exceed an amount equal to the net proceeds received by such Holder in respect of the Registrable Securities sold pursuant to the registration statement giving rise to such obligation to contribute.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b/>
          <w:sz w:val="20"/>
        </w:rPr>
        <w:t>5.1</w:t>
      </w:r>
      <w:r>
        <w:rPr>
          <w:rFonts w:ascii="Times New Roman" w:hAnsi="Times New Roman"/>
          <w:sz w:val="20"/>
        </w:rPr>
        <w:t xml:space="preserve"> </w:t>
      </w:r>
      <w:r>
        <w:rPr>
          <w:rFonts w:ascii="Times New Roman" w:hAnsi="Times New Roman"/>
          <w:b/>
          <w:sz w:val="20"/>
        </w:rPr>
        <w:t>Defined Terms</w:t>
      </w:r>
      <w:r>
        <w:rPr>
          <w:rFonts w:ascii="Times New Roman" w:hAnsi="Times New Roman"/>
          <w:sz w:val="20"/>
        </w:rPr>
        <w:t xml:space="preserve">. Capitalized terms when used in this Agreement have the following meanings: </w:t>
      </w:r>
    </w:p>
    <w:p>
      <w:pPr>
        <w:pStyle w:val="TextBody"/>
        <w:bidi w:val="0"/>
        <w:spacing w:before="240" w:after="0"/>
        <w:jc w:val="left"/>
        <w:rPr/>
      </w:pPr>
      <w:r>
        <w:rPr/>
        <w:t>“</w:t>
      </w:r>
      <w:r>
        <w:rPr>
          <w:rFonts w:ascii="Times New Roman" w:hAnsi="Times New Roman"/>
          <w:b/>
          <w:sz w:val="20"/>
        </w:rPr>
        <w:t>Activist Stockholder</w:t>
      </w:r>
      <w:r>
        <w:rPr>
          <w:rFonts w:ascii="Times New Roman" w:hAnsi="Times New Roman"/>
          <w:sz w:val="20"/>
        </w:rPr>
        <w:t xml:space="preserve">” means, as of any date of determination, a Person (other than the Investor, Parent and their respective Affiliates (and, in the case of Investor, Investor’s Permitted Transferees)) that has, directly or indirectly through its Affiliates, whether individually or as a member of a Group, within the three-year period immediately preceding such date of determination (i) publicly called or publicly sought to call a meeting of the stockholders or other equityholders of any Person not publicly approved (at the time of the first such action) by the board of directors or similar governing body of such Person, (ii) publicly initiated any proposal for action by stockholders or other equityholders of any Person initially publicly opposed by the board of directors or similar governing body of such Person, (iii) publicly sought election to, or to place a director or representative on, the board of directors or similar governing body of a Person, or publicly sought the removal of a director or other representative from such board of directors or similar governing body, in each case which election or removal was not recommended or approved publicly (at the time such election or removal is first sought) by the board of directors or (iv) publicly disclosed any intention, plan or arrangement to do any of the foregoing. </w:t>
      </w:r>
    </w:p>
    <w:p>
      <w:pPr>
        <w:pStyle w:val="TextBody"/>
        <w:bidi w:val="0"/>
        <w:spacing w:before="240" w:after="0"/>
        <w:jc w:val="left"/>
        <w:rPr/>
      </w:pPr>
      <w:r>
        <w:rPr/>
        <w:t>“</w:t>
      </w:r>
      <w:r>
        <w:rPr>
          <w:rFonts w:ascii="Times New Roman" w:hAnsi="Times New Roman"/>
          <w:b/>
          <w:sz w:val="20"/>
        </w:rPr>
        <w:t>Adverse Disclosure</w:t>
      </w:r>
      <w:r>
        <w:rPr>
          <w:rFonts w:ascii="Times New Roman" w:hAnsi="Times New Roman"/>
          <w:sz w:val="20"/>
        </w:rPr>
        <w:t xml:space="preserve">” means public disclosure of material non-public information that, in the good faith judgment of Parent (after consultation with legal counsel): (a) would be required to be made in any registration statement filed with the Commission by Parent so that such registration statement would not be materially misleading; (b) would not be required to be made at such time but for the filing, effectiveness or continued use of such registration statement; and (c) Parent has a bona fide business purpose for not disclosing publicly.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means, with respect to any Person, any other Person directly or indirectly controlling, controlled by, or under common control with such Person. For purposes of this definition, “control” when used with respect to any Person, unless otherwise specified, means the power to direct the management and policies of such Person, directly or indirectly, whether through the ownership of voting securities, by contract or otherwise; and the terms “controlling” and “controlled” have correlative meanings;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Investor shall not be deemed an Affiliate of Parent or any of its Subsidiaries for purposes of this Agreement (it being understood and agreed, for the avoidance of doubt, that the Company and its Subsidiaries following the Closing will cease to be Affiliates of the Investor and will be Affiliates of Parent). </w:t>
      </w:r>
    </w:p>
    <w:p>
      <w:pPr>
        <w:pStyle w:val="TextBody"/>
        <w:bidi w:val="0"/>
        <w:spacing w:before="240" w:after="0"/>
        <w:jc w:val="left"/>
        <w:rPr/>
      </w:pPr>
      <w:r>
        <w:rPr/>
        <w:t>“</w:t>
      </w:r>
      <w:r>
        <w:rPr>
          <w:rFonts w:ascii="Times New Roman" w:hAnsi="Times New Roman"/>
          <w:b/>
          <w:sz w:val="20"/>
        </w:rPr>
        <w:t>Applicable Law</w:t>
      </w:r>
      <w:r>
        <w:rPr>
          <w:rFonts w:ascii="Times New Roman" w:hAnsi="Times New Roman"/>
          <w:sz w:val="20"/>
        </w:rPr>
        <w:t xml:space="preserve">” means, with respect to any Person, all applicable U.S., non-U.S. or transnational federal, state or local Laws. </w:t>
      </w:r>
    </w:p>
    <w:p>
      <w:pPr>
        <w:pStyle w:val="TextBody"/>
        <w:bidi w:val="0"/>
        <w:spacing w:before="240" w:after="0"/>
        <w:jc w:val="left"/>
        <w:rPr/>
      </w:pPr>
      <w:r>
        <w:rPr/>
        <w:t>“</w:t>
      </w:r>
      <w:r>
        <w:rPr>
          <w:rFonts w:ascii="Times New Roman" w:hAnsi="Times New Roman"/>
          <w:b/>
          <w:sz w:val="20"/>
        </w:rPr>
        <w:t>Beneficial Owner</w:t>
      </w:r>
      <w:r>
        <w:rPr>
          <w:rFonts w:ascii="Times New Roman" w:hAnsi="Times New Roman"/>
          <w:sz w:val="20"/>
        </w:rPr>
        <w:t>,” “</w:t>
      </w:r>
      <w:r>
        <w:rPr>
          <w:rFonts w:ascii="Times New Roman" w:hAnsi="Times New Roman"/>
          <w:b/>
          <w:sz w:val="20"/>
        </w:rPr>
        <w:t>Beneficially Own</w:t>
      </w:r>
      <w:r>
        <w:rPr>
          <w:rFonts w:ascii="Times New Roman" w:hAnsi="Times New Roman"/>
          <w:sz w:val="20"/>
        </w:rPr>
        <w:t>,” “</w:t>
      </w:r>
      <w:r>
        <w:rPr>
          <w:rFonts w:ascii="Times New Roman" w:hAnsi="Times New Roman"/>
          <w:b/>
          <w:sz w:val="20"/>
        </w:rPr>
        <w:t>Beneficially Owned</w:t>
      </w:r>
      <w:r>
        <w:rPr>
          <w:rFonts w:ascii="Times New Roman" w:hAnsi="Times New Roman"/>
          <w:sz w:val="20"/>
        </w:rPr>
        <w:t>” or “</w:t>
      </w:r>
      <w:r>
        <w:rPr>
          <w:rFonts w:ascii="Times New Roman" w:hAnsi="Times New Roman"/>
          <w:b/>
          <w:sz w:val="20"/>
        </w:rPr>
        <w:t>Beneficial Ownership</w:t>
      </w:r>
      <w:r>
        <w:rPr>
          <w:rFonts w:ascii="Times New Roman" w:hAnsi="Times New Roman"/>
          <w:sz w:val="20"/>
        </w:rPr>
        <w:t xml:space="preserve">” has the meaning assigned to such term in Rule 13d-3 under the Exchange Act, and a Person’s beneficial ownership of securities shall be calculated in accordance with the provisions of such Rule (in each case, irrespective of whether or not such Rule is actually applicable in such circumstance).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a day, other than a Saturday or Sunday or public holiday in New York, New York on which banks are open in New York, New York for general commercial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Closing Date</w:t>
      </w:r>
      <w:r>
        <w:rPr>
          <w:rFonts w:ascii="Times New Roman" w:hAnsi="Times New Roman"/>
          <w:sz w:val="20"/>
        </w:rPr>
        <w:t xml:space="preserve">” means the date of the Closing. </w:t>
      </w:r>
    </w:p>
    <w:p>
      <w:pPr>
        <w:pStyle w:val="TextBody"/>
        <w:bidi w:val="0"/>
        <w:spacing w:before="240" w:after="0"/>
        <w:jc w:val="left"/>
        <w:rPr/>
      </w:pPr>
      <w:r>
        <w:rPr/>
        <w:t>“</w:t>
      </w:r>
      <w:r>
        <w:rPr>
          <w:rFonts w:ascii="Times New Roman" w:hAnsi="Times New Roman"/>
          <w:b/>
          <w:sz w:val="20"/>
        </w:rPr>
        <w:t>Commission</w:t>
      </w:r>
      <w:r>
        <w:rPr>
          <w:rFonts w:ascii="Times New Roman" w:hAnsi="Times New Roman"/>
          <w:sz w:val="20"/>
        </w:rPr>
        <w:t xml:space="preserve">” means the Securities and Exchange Commission or any other federal agency administering the Securities Act. </w:t>
      </w:r>
    </w:p>
    <w:p>
      <w:pPr>
        <w:pStyle w:val="TextBody"/>
        <w:bidi w:val="0"/>
        <w:spacing w:before="240" w:after="0"/>
        <w:jc w:val="left"/>
        <w:rPr/>
      </w:pPr>
      <w:r>
        <w:rPr/>
        <w:t>“</w:t>
      </w:r>
      <w:r>
        <w:rPr>
          <w:rFonts w:ascii="Times New Roman" w:hAnsi="Times New Roman"/>
          <w:b/>
          <w:sz w:val="20"/>
        </w:rPr>
        <w:t>Company</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sz w:val="20"/>
        </w:rPr>
        <w:t>Confidential Information</w:t>
      </w:r>
      <w:r>
        <w:rPr>
          <w:rFonts w:ascii="Times New Roman" w:hAnsi="Times New Roman"/>
          <w:sz w:val="20"/>
        </w:rPr>
        <w:t xml:space="preserve">” means all confidential and/or non-public information (irrespective of the form of communication, and irrespective of whether obtained prior to or after the date hereof) obtained by or on behalf of the Investor or its Representatives from or on behalf of Parent, its Subsidiaries or its or their respective directors, officers, employees, and authorized representatives (including attorneys, accountants, consultants, bankers and financial advisors thereof), other than information which (i) was or becomes generally available to the public other than as a result of a breach of this Agreement by the Investor or any of its Representatives, (ii) was or becomes available to the Investor or any of its Representatives on a non-confidential basis from a source other than Parent, its Subsidiaries or its or their respective directors, officers, employees, and authorized representatives (including attorneys, accountants, consultants, bankers and financial advisors thereof); </w:t>
      </w:r>
      <w:r>
        <w:rPr>
          <w:rFonts w:ascii="Times New Roman" w:hAnsi="Times New Roman"/>
          <w:sz w:val="20"/>
          <w:u w:val="single"/>
        </w:rPr>
        <w:t>provided</w:t>
      </w:r>
      <w:r>
        <w:rPr>
          <w:rFonts w:ascii="Times New Roman" w:hAnsi="Times New Roman"/>
          <w:sz w:val="20"/>
        </w:rPr>
        <w:t xml:space="preserve"> that the source thereof is not known by the Investor or its Representatives to be bound by an obligation of confidentiality to Parent or its Subsidiaries in respect of such information, or (iii) is independently developed by the Investor or its Representatives without the use of or reference to any such information that would otherwise be Confidential Information hereunder. </w:t>
      </w:r>
    </w:p>
    <w:p>
      <w:pPr>
        <w:pStyle w:val="TextBody"/>
        <w:bidi w:val="0"/>
        <w:spacing w:before="240" w:after="0"/>
        <w:jc w:val="left"/>
        <w:rPr/>
      </w:pPr>
      <w:r>
        <w:rPr/>
        <w:t>“</w:t>
      </w:r>
      <w:r>
        <w:rPr>
          <w:rFonts w:ascii="Times New Roman" w:hAnsi="Times New Roman"/>
          <w:b/>
          <w:sz w:val="20"/>
        </w:rPr>
        <w:t>Contract</w:t>
      </w:r>
      <w:r>
        <w:rPr>
          <w:rFonts w:ascii="Times New Roman" w:hAnsi="Times New Roman"/>
          <w:sz w:val="20"/>
        </w:rPr>
        <w:t xml:space="preserve">” means any written or oral contract, agreement, obligation, understanding or instrument, lease or license. </w:t>
      </w:r>
    </w:p>
    <w:p>
      <w:pPr>
        <w:pStyle w:val="TextBody"/>
        <w:bidi w:val="0"/>
        <w:spacing w:before="240" w:after="0"/>
        <w:jc w:val="left"/>
        <w:rPr/>
      </w:pPr>
      <w:r>
        <w:rPr/>
        <w:t>“</w:t>
      </w:r>
      <w:r>
        <w:rPr>
          <w:rFonts w:ascii="Times New Roman" w:hAnsi="Times New Roman"/>
          <w:b/>
          <w:sz w:val="20"/>
        </w:rPr>
        <w:t>Equity Interest</w:t>
      </w:r>
      <w:r>
        <w:rPr>
          <w:rFonts w:ascii="Times New Roman" w:hAnsi="Times New Roman"/>
          <w:sz w:val="20"/>
        </w:rPr>
        <w:t xml:space="preserve">” means any share of capital stock or other class of equity securities of a Person, whether voting or non-voting.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Securities Exchange Act of 1934, as amended, and the rules and regulations promulgated thereunder. </w:t>
      </w:r>
    </w:p>
    <w:p>
      <w:pPr>
        <w:pStyle w:val="TextBody"/>
        <w:bidi w:val="0"/>
        <w:spacing w:before="240" w:after="0"/>
        <w:jc w:val="left"/>
        <w:rPr/>
      </w:pPr>
      <w:r>
        <w:rPr/>
        <w:t>“</w:t>
      </w:r>
      <w:r>
        <w:rPr>
          <w:rFonts w:ascii="Times New Roman" w:hAnsi="Times New Roman"/>
          <w:b/>
          <w:sz w:val="20"/>
        </w:rPr>
        <w:t>FINRA</w:t>
      </w:r>
      <w:r>
        <w:rPr>
          <w:rFonts w:ascii="Times New Roman" w:hAnsi="Times New Roman"/>
          <w:sz w:val="20"/>
        </w:rPr>
        <w:t xml:space="preserve">” means the Financial Industry Regulatory Authority, Inc. </w:t>
      </w:r>
    </w:p>
    <w:p>
      <w:pPr>
        <w:pStyle w:val="TextBody"/>
        <w:bidi w:val="0"/>
        <w:spacing w:before="240" w:after="0"/>
        <w:jc w:val="left"/>
        <w:rPr/>
      </w:pPr>
      <w:r>
        <w:rPr/>
        <w:t>“</w:t>
      </w:r>
      <w:r>
        <w:rPr>
          <w:rFonts w:ascii="Times New Roman" w:hAnsi="Times New Roman"/>
          <w:b/>
          <w:sz w:val="20"/>
        </w:rPr>
        <w:t>Governmental Authority</w:t>
      </w:r>
      <w:r>
        <w:rPr>
          <w:rFonts w:ascii="Times New Roman" w:hAnsi="Times New Roman"/>
          <w:sz w:val="20"/>
        </w:rPr>
        <w:t xml:space="preserve">” means any federal, national, state, local, cantonal, municipal, international or multinational government or political subdivision thereof, governmental department, commission, board, bureau, agency, taxing or regulatory authority, instrumentality or judicial or administrative body, or arbitrator or SRO, having jurisdiction over the matter or matters in question. </w:t>
      </w:r>
    </w:p>
    <w:p>
      <w:pPr>
        <w:pStyle w:val="TextBody"/>
        <w:bidi w:val="0"/>
        <w:spacing w:before="240" w:after="0"/>
        <w:jc w:val="left"/>
        <w:rPr/>
      </w:pPr>
      <w:r>
        <w:rPr/>
        <w:t>“</w:t>
      </w:r>
      <w:r>
        <w:rPr>
          <w:rFonts w:ascii="Times New Roman" w:hAnsi="Times New Roman"/>
          <w:b/>
          <w:sz w:val="20"/>
        </w:rPr>
        <w:t>Group</w:t>
      </w:r>
      <w:r>
        <w:rPr>
          <w:rFonts w:ascii="Times New Roman" w:hAnsi="Times New Roman"/>
          <w:sz w:val="20"/>
        </w:rPr>
        <w:t xml:space="preserve">” has the meaning assigned to such term in Section 13(d)(3) of the Exchange Act. </w:t>
      </w:r>
    </w:p>
    <w:p>
      <w:pPr>
        <w:pStyle w:val="TextBody"/>
        <w:bidi w:val="0"/>
        <w:spacing w:before="240" w:after="0"/>
        <w:jc w:val="left"/>
        <w:rPr/>
      </w:pPr>
      <w:r>
        <w:rPr/>
        <w:t>“</w:t>
      </w:r>
      <w:r>
        <w:rPr>
          <w:rFonts w:ascii="Times New Roman" w:hAnsi="Times New Roman"/>
          <w:b/>
          <w:sz w:val="20"/>
        </w:rPr>
        <w:t>Initial Release Date</w:t>
      </w:r>
      <w:r>
        <w:rPr>
          <w:rFonts w:ascii="Times New Roman" w:hAnsi="Times New Roman"/>
          <w:sz w:val="20"/>
        </w:rPr>
        <w:t xml:space="preserve">” means the date that is 90 days following the Closing Date. </w:t>
      </w:r>
    </w:p>
    <w:p>
      <w:pPr>
        <w:pStyle w:val="TextBody"/>
        <w:bidi w:val="0"/>
        <w:spacing w:before="240" w:after="0"/>
        <w:jc w:val="left"/>
        <w:rPr/>
      </w:pPr>
      <w:r>
        <w:rPr/>
        <w:t>“</w:t>
      </w:r>
      <w:r>
        <w:rPr>
          <w:rFonts w:ascii="Times New Roman" w:hAnsi="Times New Roman"/>
          <w:b/>
          <w:sz w:val="20"/>
        </w:rPr>
        <w:t>Investor Designee</w:t>
      </w:r>
      <w:r>
        <w:rPr>
          <w:rFonts w:ascii="Times New Roman" w:hAnsi="Times New Roman"/>
          <w:sz w:val="20"/>
        </w:rPr>
        <w:t xml:space="preserve">” means an individual designated in writing by the Investor for election or appointment to the Parent Board. </w:t>
      </w:r>
    </w:p>
    <w:p>
      <w:pPr>
        <w:pStyle w:val="TextBody"/>
        <w:bidi w:val="0"/>
        <w:spacing w:before="240" w:after="0"/>
        <w:jc w:val="left"/>
        <w:rPr/>
      </w:pPr>
      <w:r>
        <w:rPr/>
        <w:t>“</w:t>
      </w:r>
      <w:r>
        <w:rPr>
          <w:rFonts w:ascii="Times New Roman" w:hAnsi="Times New Roman"/>
          <w:b/>
          <w:sz w:val="20"/>
        </w:rPr>
        <w:t>Investor Director</w:t>
      </w:r>
      <w:r>
        <w:rPr>
          <w:rFonts w:ascii="Times New Roman" w:hAnsi="Times New Roman"/>
          <w:sz w:val="20"/>
        </w:rPr>
        <w:t xml:space="preserve">” means an Investor Designee who has been elected or appointed to the Parent Board. </w:t>
      </w:r>
    </w:p>
    <w:p>
      <w:pPr>
        <w:pStyle w:val="TextBody"/>
        <w:bidi w:val="0"/>
        <w:spacing w:before="240" w:after="0"/>
        <w:jc w:val="left"/>
        <w:rPr/>
      </w:pPr>
      <w:r>
        <w:rPr/>
        <w:t>“</w:t>
      </w:r>
      <w:r>
        <w:rPr>
          <w:rFonts w:ascii="Times New Roman" w:hAnsi="Times New Roman"/>
          <w:b/>
          <w:sz w:val="20"/>
        </w:rPr>
        <w:t>Investor Parties</w:t>
      </w:r>
      <w:r>
        <w:rPr>
          <w:rFonts w:ascii="Times New Roman" w:hAnsi="Times New Roman"/>
          <w:sz w:val="20"/>
        </w:rPr>
        <w:t xml:space="preserve">” means the Investor and each Permitted Transferee of the Investor to whom Voting Securities are transferred pursuant to and in accordance with </w:t>
      </w:r>
      <w:r>
        <w:rPr>
          <w:rFonts w:ascii="Times New Roman" w:hAnsi="Times New Roman"/>
          <w:sz w:val="20"/>
          <w:u w:val="single"/>
        </w:rPr>
        <w:t>Section 2.1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Investor Percentage Interest</w:t>
      </w:r>
      <w:r>
        <w:rPr>
          <w:rFonts w:ascii="Times New Roman" w:hAnsi="Times New Roman"/>
          <w:sz w:val="20"/>
        </w:rPr>
        <w:t xml:space="preserve">” means the percentage calculated by dividing (i) the number of Voting Securities that are, as of the date of such calculation, Beneficially Owned by the Investor Parties, in the aggregate, by (ii) the number of issued and outstanding Voting Securities as of the date of such calculation. </w:t>
      </w:r>
    </w:p>
    <w:p>
      <w:pPr>
        <w:pStyle w:val="TextBody"/>
        <w:bidi w:val="0"/>
        <w:spacing w:before="240" w:after="0"/>
        <w:jc w:val="left"/>
        <w:rPr/>
      </w:pPr>
      <w:r>
        <w:rPr/>
        <w:t>“</w:t>
      </w:r>
      <w:r>
        <w:rPr>
          <w:rFonts w:ascii="Times New Roman" w:hAnsi="Times New Roman"/>
          <w:b/>
          <w:sz w:val="20"/>
        </w:rPr>
        <w:t>Laws</w:t>
      </w:r>
      <w:r>
        <w:rPr>
          <w:rFonts w:ascii="Times New Roman" w:hAnsi="Times New Roman"/>
          <w:sz w:val="20"/>
        </w:rPr>
        <w:t xml:space="preserve">” means laws, statutes, binding Orders, rules, and regulations, ordinances, directives, treaties, rules of common law and rules of any applicable SRO. </w:t>
      </w:r>
    </w:p>
    <w:p>
      <w:pPr>
        <w:pStyle w:val="TextBody"/>
        <w:bidi w:val="0"/>
        <w:spacing w:before="240" w:after="0"/>
        <w:jc w:val="left"/>
        <w:rPr/>
      </w:pPr>
      <w:r>
        <w:rPr/>
        <w:t>“</w:t>
      </w:r>
      <w:r>
        <w:rPr>
          <w:rFonts w:ascii="Times New Roman" w:hAnsi="Times New Roman"/>
          <w:b/>
          <w:sz w:val="20"/>
        </w:rPr>
        <w:t>Order</w:t>
      </w:r>
      <w:r>
        <w:rPr>
          <w:rFonts w:ascii="Times New Roman" w:hAnsi="Times New Roman"/>
          <w:sz w:val="20"/>
        </w:rPr>
        <w:t xml:space="preserve">” means any order, writ, decree, judgment, award, decision, injunction, ruling, settlement, verdict, consent decree, compliance order, civil or administrative order, or stipulation issued, promulgated, made, rendered or entered into by or with any Governmental Authority or arbitrator (in each case, whether temporary, preliminary or permanent).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 individual, firm, body corporate (wherever incorporated), partnership, limited liability company, association, joint venture, trust, foundation, works council or employee representative body (whether or not having separate legal personality) or other entity or organization, including a Governmental Authority. </w:t>
      </w:r>
    </w:p>
    <w:p>
      <w:pPr>
        <w:pStyle w:val="TextBody"/>
        <w:bidi w:val="0"/>
        <w:spacing w:before="240" w:after="0"/>
        <w:jc w:val="left"/>
        <w:rPr/>
      </w:pPr>
      <w:r>
        <w:rPr/>
        <w:t>“</w:t>
      </w:r>
      <w:r>
        <w:rPr>
          <w:rFonts w:ascii="Times New Roman" w:hAnsi="Times New Roman"/>
          <w:b/>
          <w:sz w:val="20"/>
        </w:rPr>
        <w:t>Permitted Transfer</w:t>
      </w:r>
      <w:r>
        <w:rPr>
          <w:rFonts w:ascii="Times New Roman" w:hAnsi="Times New Roman"/>
          <w:sz w:val="20"/>
        </w:rPr>
        <w:t xml:space="preserve">” means a Transfer of all or any portion of or any interest in any Voting Securities by any Investor Party to any Permitted Transferee, or between or amongst Permitted Transferees; </w:t>
      </w:r>
      <w:r>
        <w:rPr>
          <w:rFonts w:ascii="Times New Roman" w:hAnsi="Times New Roman"/>
          <w:sz w:val="20"/>
          <w:u w:val="single"/>
        </w:rPr>
        <w:t>provided</w:t>
      </w:r>
      <w:r>
        <w:rPr>
          <w:rFonts w:ascii="Times New Roman" w:hAnsi="Times New Roman"/>
          <w:sz w:val="20"/>
        </w:rPr>
        <w:t xml:space="preserve">, that, if, during the Restricted Period, any Permitted Transferee ceases to be an Affiliate of the Investor, then any prior Transfer to such Person shall become null and void and ownership and title to any such securities so transferred shall revert to the Investor. </w:t>
      </w:r>
    </w:p>
    <w:p>
      <w:pPr>
        <w:pStyle w:val="TextBody"/>
        <w:bidi w:val="0"/>
        <w:spacing w:before="240" w:after="0"/>
        <w:jc w:val="left"/>
        <w:rPr/>
      </w:pPr>
      <w:r>
        <w:rPr/>
        <w:t>“</w:t>
      </w:r>
      <w:r>
        <w:rPr>
          <w:rFonts w:ascii="Times New Roman" w:hAnsi="Times New Roman"/>
          <w:b/>
          <w:sz w:val="20"/>
        </w:rPr>
        <w:t>Permitted Transferee</w:t>
      </w:r>
      <w:r>
        <w:rPr>
          <w:rFonts w:ascii="Times New Roman" w:hAnsi="Times New Roman"/>
          <w:sz w:val="20"/>
        </w:rPr>
        <w:t xml:space="preserve">” means any Affiliate of the Investor that agrees to be bound by the provisions of this Agreement by delivering a joinder to this Agreement in a form reasonably acceptable to Parent. </w:t>
      </w:r>
    </w:p>
    <w:p>
      <w:pPr>
        <w:pStyle w:val="TextBody"/>
        <w:bidi w:val="0"/>
        <w:spacing w:before="240" w:after="0"/>
        <w:jc w:val="left"/>
        <w:rPr/>
      </w:pPr>
      <w:r>
        <w:rPr/>
        <w:t>“</w:t>
      </w:r>
      <w:r>
        <w:rPr>
          <w:rFonts w:ascii="Times New Roman" w:hAnsi="Times New Roman"/>
          <w:b/>
          <w:sz w:val="20"/>
        </w:rPr>
        <w:t>Qualifying Threshold</w:t>
      </w:r>
      <w:r>
        <w:rPr>
          <w:rFonts w:ascii="Times New Roman" w:hAnsi="Times New Roman"/>
          <w:sz w:val="20"/>
        </w:rPr>
        <w:t xml:space="preserve">” means an Investor Percentage Interest of ten percent. </w:t>
      </w:r>
    </w:p>
    <w:p>
      <w:pPr>
        <w:pStyle w:val="TextBody"/>
        <w:bidi w:val="0"/>
        <w:spacing w:before="240" w:after="0"/>
        <w:jc w:val="left"/>
        <w:rPr/>
      </w:pPr>
      <w:r>
        <w:rPr/>
        <w:t>“</w:t>
      </w:r>
      <w:r>
        <w:rPr>
          <w:rFonts w:ascii="Times New Roman" w:hAnsi="Times New Roman"/>
          <w:b/>
          <w:sz w:val="20"/>
        </w:rPr>
        <w:t>Registrable Amount</w:t>
      </w:r>
      <w:r>
        <w:rPr>
          <w:rFonts w:ascii="Times New Roman" w:hAnsi="Times New Roman"/>
          <w:sz w:val="20"/>
        </w:rPr>
        <w:t xml:space="preserve">” means an amount of Registrable Securities having anticipated gross proceeds of at least $50 million (based on the anticipated offering price as reasonably determined in good faith by Parent), without regard to any underwriting discount or commission, or such lesser amount of Registrable Securities as would result in the disposition of all of the Registrable Securities Beneficially Owned by the Investor. </w:t>
      </w:r>
    </w:p>
    <w:p>
      <w:pPr>
        <w:pStyle w:val="TextBody"/>
        <w:bidi w:val="0"/>
        <w:spacing w:before="240" w:after="0"/>
        <w:jc w:val="left"/>
        <w:rPr/>
      </w:pPr>
      <w:r>
        <w:rPr/>
        <w:t>“</w:t>
      </w:r>
      <w:r>
        <w:rPr>
          <w:rFonts w:ascii="Times New Roman" w:hAnsi="Times New Roman"/>
          <w:b/>
          <w:sz w:val="20"/>
        </w:rPr>
        <w:t>Registrable Securities</w:t>
      </w:r>
      <w:r>
        <w:rPr>
          <w:rFonts w:ascii="Times New Roman" w:hAnsi="Times New Roman"/>
          <w:sz w:val="20"/>
        </w:rPr>
        <w:t xml:space="preserve">” means any shares of Parent Common Stock issued to the Investor pursuant to the Merger Agreement and any other securities issued or issuable by Parent or any of its successors or assigns in respect of any such shares of Parent Common Stock received, including in connection with any stock split or subdivision, stock dividend, distribution or similar transaction; </w:t>
      </w:r>
      <w:r>
        <w:rPr>
          <w:rFonts w:ascii="Times New Roman" w:hAnsi="Times New Roman"/>
          <w:sz w:val="20"/>
          <w:u w:val="single"/>
        </w:rPr>
        <w:t>provided</w:t>
      </w:r>
      <w:r>
        <w:rPr>
          <w:rFonts w:ascii="Times New Roman" w:hAnsi="Times New Roman"/>
          <w:sz w:val="20"/>
        </w:rPr>
        <w:t>, that any such shares of Parent Common Stock or other securities shall cease to be Registrable Securities when (w) they are sold pursuant to an effective registration statement under the Securities Act, (x) they are sold pursuant to Rule 144 under the Securities Act, (y) they become eligible for sale pursuant to Rule 144 under the Securities Act without volume or manner-of-sale restrictions (</w:t>
      </w:r>
      <w:r>
        <w:rPr>
          <w:rFonts w:ascii="Times New Roman" w:hAnsi="Times New Roman"/>
          <w:sz w:val="20"/>
          <w:u w:val="single"/>
        </w:rPr>
        <w:t>provided</w:t>
      </w:r>
      <w:r>
        <w:rPr>
          <w:rFonts w:ascii="Times New Roman" w:hAnsi="Times New Roman"/>
          <w:sz w:val="20"/>
        </w:rPr>
        <w:t xml:space="preserve">, that such shares shall continue to be Registrable Securities solely for the purposes of any Shelf Offering), or (z) they shall have ceased to be outstanding.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Securities Act of 1933, as amended, and the rules and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SRO</w:t>
      </w:r>
      <w:r>
        <w:rPr>
          <w:rFonts w:ascii="Times New Roman" w:hAnsi="Times New Roman"/>
          <w:sz w:val="20"/>
        </w:rPr>
        <w:t xml:space="preserve">” means (i) any “self-regulatory organization” as defined in Section 3(a)(26) of the Exchange Act, (ii) any other United States or foreign securities exchange, futures exchange, commodities exchange or contract market, or (iii) any other securities exchange. </w:t>
      </w:r>
    </w:p>
    <w:p>
      <w:pPr>
        <w:pStyle w:val="TextBody"/>
        <w:bidi w:val="0"/>
        <w:spacing w:before="240" w:after="0"/>
        <w:jc w:val="left"/>
        <w:rPr/>
      </w:pPr>
      <w:r>
        <w:rPr/>
        <w:t>“</w:t>
      </w:r>
      <w:r>
        <w:rPr>
          <w:rFonts w:ascii="Times New Roman" w:hAnsi="Times New Roman"/>
          <w:b/>
          <w:sz w:val="20"/>
        </w:rPr>
        <w:t>Standstill Cap</w:t>
      </w:r>
      <w:r>
        <w:rPr>
          <w:rFonts w:ascii="Times New Roman" w:hAnsi="Times New Roman"/>
          <w:sz w:val="20"/>
        </w:rPr>
        <w:t xml:space="preserve">” means an Investor Percentage Interest of 24.9%, calculated based on the aggregate Beneficial Ownership of Voting Securities by all of the Investor Parties (including all Voting Securities Beneficially Owned by the Investor Parties as of the Closing). </w:t>
      </w:r>
    </w:p>
    <w:p>
      <w:pPr>
        <w:pStyle w:val="TextBody"/>
        <w:bidi w:val="0"/>
        <w:spacing w:before="240" w:after="0"/>
        <w:jc w:val="left"/>
        <w:rPr/>
      </w:pPr>
      <w:r>
        <w:rPr/>
        <w:t>“</w:t>
      </w:r>
      <w:r>
        <w:rPr>
          <w:rFonts w:ascii="Times New Roman" w:hAnsi="Times New Roman"/>
          <w:b/>
          <w:sz w:val="20"/>
        </w:rPr>
        <w:t>Standstill Period</w:t>
      </w:r>
      <w:r>
        <w:rPr>
          <w:rFonts w:ascii="Times New Roman" w:hAnsi="Times New Roman"/>
          <w:sz w:val="20"/>
        </w:rPr>
        <w:t xml:space="preserve">” means the period beginning on the Closing Date and ending on the later of (i) the second anniversary thereof and (ii) the first date on which the Investor Percentage Interest falls below the Qualifying Threshold. Notwithstanding the foregoing, the Standstill Period shall terminate on the first date on or after the second anniversary of the Closing Date that is at least 30 days after the date on which the Investor has delivered written notice to Parent (which notice may be delivered prior to the second anniversary of the Closing Date) that, effective as of such date, (x) the Investor Director will resign from the Parent Board and each committee thereof and (y) the Investor permanently and irrevocably waives its rights to designate, nominate or appoint any Investor Designee pursuant to </w:t>
      </w:r>
      <w:r>
        <w:rPr>
          <w:rFonts w:ascii="Times New Roman" w:hAnsi="Times New Roman"/>
          <w:sz w:val="20"/>
          <w:u w:val="single"/>
        </w:rPr>
        <w:t>Article 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means, with respect to any Person, another Person with respect to which the first Person holds, directly or indirectly, (a) an amount of the voting securities, other voting ownership or voting partnership interests sufficient to elect at least a majority of its board of directors or other governing body or (b) more than 50% of the Equity Interests. </w:t>
      </w:r>
    </w:p>
    <w:p>
      <w:pPr>
        <w:pStyle w:val="TextBody"/>
        <w:bidi w:val="0"/>
        <w:spacing w:before="240" w:after="0"/>
        <w:jc w:val="left"/>
        <w:rPr/>
      </w:pPr>
      <w:r>
        <w:rPr/>
        <w:t>“</w:t>
      </w:r>
      <w:r>
        <w:rPr>
          <w:rFonts w:ascii="Times New Roman" w:hAnsi="Times New Roman"/>
          <w:b/>
          <w:sz w:val="20"/>
        </w:rPr>
        <w:t>Transaction Documents</w:t>
      </w:r>
      <w:r>
        <w:rPr>
          <w:rFonts w:ascii="Times New Roman" w:hAnsi="Times New Roman"/>
          <w:sz w:val="20"/>
        </w:rPr>
        <w:t xml:space="preserve">” has the meaning set forth in the Merger Agreement. </w:t>
      </w:r>
    </w:p>
    <w:p>
      <w:pPr>
        <w:pStyle w:val="TextBody"/>
        <w:bidi w:val="0"/>
        <w:spacing w:before="240" w:after="0"/>
        <w:jc w:val="left"/>
        <w:rPr/>
      </w:pPr>
      <w:r>
        <w:rPr/>
        <w:t>“</w:t>
      </w:r>
      <w:r>
        <w:rPr>
          <w:rFonts w:ascii="Times New Roman" w:hAnsi="Times New Roman"/>
          <w:b/>
          <w:sz w:val="20"/>
        </w:rPr>
        <w:t>Transfer</w:t>
      </w:r>
      <w:r>
        <w:rPr>
          <w:rFonts w:ascii="Times New Roman" w:hAnsi="Times New Roman"/>
          <w:sz w:val="20"/>
        </w:rPr>
        <w:t xml:space="preserve">” means (i) any direct or indirect offer, sale, lease, assignment, encumbrance, pledge, hypothecation, disposition or other transfer (by operation of law or otherwise), either voluntary or involuntary, or entry into any contract, option or other arrangement or understanding with respect to any offer, sale, lease, assignment, encumbrance, pledge, hypothecation, disposition or other transfer (by operation of law or otherwise), of any capital stock or interest in any capital stock or (ii) in respect of any capital stock or interest in any capital stock, entry into any swap, put option, derivative, or any other agreement, transaction or series of transactions that hedges or transfers, in whole or in part, directly or indirectly, the economic consequence of ownership of such capital stock or interest in capital stock, whether any such swap, derivative, put option, agreement, transaction or series of transactions is to be settled by delivery of securities, in cash or otherwise; </w:t>
      </w:r>
      <w:r>
        <w:rPr>
          <w:rFonts w:ascii="Times New Roman" w:hAnsi="Times New Roman"/>
          <w:sz w:val="20"/>
          <w:u w:val="single"/>
        </w:rPr>
        <w:t>provided</w:t>
      </w:r>
      <w:r>
        <w:rPr>
          <w:rFonts w:ascii="Times New Roman" w:hAnsi="Times New Roman"/>
          <w:sz w:val="20"/>
        </w:rPr>
        <w:t xml:space="preserve"> that a “Transfer” will not include (A) the granting of a pledge, lien or other security interest over any capital stock or interest in any capital stock to one or more nationally recognized financial institutions in connection with any bona fide debt financing (including the deposit or transfer of any Voting Securities into or between any brokerage, custodial, prime brokerage, margin or similar account established for such purpose and maintained by or for the benefit of any Investor Party with such nationally recognized financial institution), or the ability of such financial institution to foreclose on and Transfer such capital stock or interest in any capital stock and any foreclosure or Transfer by such financial institution, as long as the applicable pledge, loan, account or other operative document or agreement contains provisions (with Parent as an express third-party beneficiary thereof) requiring that (1) prior to any such foreclosure, the pledged Voting Securities remain subject to the transfer restrictions set forth in </w:t>
      </w:r>
      <w:r>
        <w:rPr>
          <w:rFonts w:ascii="Times New Roman" w:hAnsi="Times New Roman"/>
          <w:sz w:val="20"/>
          <w:u w:val="single"/>
        </w:rPr>
        <w:t>Sections 2.1(a)</w:t>
      </w:r>
      <w:r>
        <w:rPr>
          <w:rFonts w:ascii="Times New Roman" w:hAnsi="Times New Roman"/>
          <w:sz w:val="20"/>
        </w:rPr>
        <w:t xml:space="preserve"> and </w:t>
      </w:r>
      <w:r>
        <w:rPr>
          <w:rFonts w:ascii="Times New Roman" w:hAnsi="Times New Roman"/>
          <w:sz w:val="20"/>
          <w:u w:val="single"/>
        </w:rPr>
        <w:t>2.1(c)</w:t>
      </w:r>
      <w:r>
        <w:rPr>
          <w:rFonts w:ascii="Times New Roman" w:hAnsi="Times New Roman"/>
          <w:sz w:val="20"/>
        </w:rPr>
        <w:t xml:space="preserve">, (2) upon any foreclosure or similar enforcement event, such financial institution may sell or Transfer such Voting Securities solely pursuant to customary orderly liquidation provisions set forth in such pledge, loan or other operative document or agreement and subject to (x) compliance with Applicable Law (including securities laws) and (y) the transfer restrictions set forth in </w:t>
      </w:r>
      <w:r>
        <w:rPr>
          <w:rFonts w:ascii="Times New Roman" w:hAnsi="Times New Roman"/>
          <w:sz w:val="20"/>
          <w:u w:val="single"/>
        </w:rPr>
        <w:t>Sections 2.1(a)</w:t>
      </w:r>
      <w:r>
        <w:rPr>
          <w:rFonts w:ascii="Times New Roman" w:hAnsi="Times New Roman"/>
          <w:sz w:val="20"/>
        </w:rPr>
        <w:t xml:space="preserve"> and </w:t>
      </w:r>
      <w:r>
        <w:rPr>
          <w:rFonts w:ascii="Times New Roman" w:hAnsi="Times New Roman"/>
          <w:sz w:val="20"/>
          <w:u w:val="single"/>
        </w:rPr>
        <w:t>2.1(c)</w:t>
      </w:r>
      <w:r>
        <w:rPr>
          <w:rFonts w:ascii="Times New Roman" w:hAnsi="Times New Roman"/>
          <w:sz w:val="20"/>
        </w:rPr>
        <w:t xml:space="preserve">, and (3) prior to any such foreclosure, such financial institution shall not exercise any voting rights with respect to such pledged Voting Securities (it being understood that voting rights with respect to pledged Voting Securities shall remain with the applicable Investor Party until any foreclosure or similar enforcement event) or (B) any indirect Transfer of Equity Interests of Parent by virtue of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issuance of a direct or indirect Equity Interest in the Investor, any of its Affiliates or any of their respective securityholders. Notwithstanding the foregoing, but subject to subclauses (1)-(3) of the proviso in the preceding sentence, no pledge of Voting Securities (or deposit thereof into any related account) by any Investor Party or its Affiliates to a nationally recognized financial institution in connection with a bona fide debt financing shall constitute a Transfer; </w:t>
      </w:r>
      <w:r>
        <w:rPr>
          <w:rFonts w:ascii="Times New Roman" w:hAnsi="Times New Roman"/>
          <w:i/>
          <w:sz w:val="20"/>
        </w:rPr>
        <w:t>provided</w:t>
      </w:r>
      <w:r>
        <w:rPr>
          <w:rFonts w:ascii="Times New Roman" w:hAnsi="Times New Roman"/>
          <w:sz w:val="20"/>
        </w:rPr>
        <w:t xml:space="preserve">, that such Voting Securities shall remain subject to the transfer restrictions set forth in this Agreement. </w:t>
      </w:r>
    </w:p>
    <w:p>
      <w:pPr>
        <w:pStyle w:val="TextBody"/>
        <w:bidi w:val="0"/>
        <w:spacing w:before="240" w:after="0"/>
        <w:jc w:val="left"/>
        <w:rPr/>
      </w:pPr>
      <w:r>
        <w:rPr/>
        <w:t>“</w:t>
      </w:r>
      <w:r>
        <w:rPr>
          <w:rFonts w:ascii="Times New Roman" w:hAnsi="Times New Roman"/>
          <w:b/>
          <w:sz w:val="20"/>
        </w:rPr>
        <w:t>Transferee</w:t>
      </w:r>
      <w:r>
        <w:rPr>
          <w:rFonts w:ascii="Times New Roman" w:hAnsi="Times New Roman"/>
          <w:sz w:val="20"/>
        </w:rPr>
        <w:t xml:space="preserve">” means a Person to whom a Transfer is made or is proposed to be made. </w:t>
      </w:r>
    </w:p>
    <w:p>
      <w:pPr>
        <w:pStyle w:val="TextBody"/>
        <w:bidi w:val="0"/>
        <w:spacing w:before="240" w:after="0"/>
        <w:jc w:val="left"/>
        <w:rPr/>
      </w:pPr>
      <w:r>
        <w:rPr/>
        <w:t>“</w:t>
      </w:r>
      <w:r>
        <w:rPr>
          <w:rFonts w:ascii="Times New Roman" w:hAnsi="Times New Roman"/>
          <w:b/>
          <w:sz w:val="20"/>
        </w:rPr>
        <w:t>Underwritten Offering</w:t>
      </w:r>
      <w:r>
        <w:rPr>
          <w:rFonts w:ascii="Times New Roman" w:hAnsi="Times New Roman"/>
          <w:sz w:val="20"/>
        </w:rPr>
        <w:t xml:space="preserve">” means a sale of securities of Parent, in an amount no less than the Registrable Amount, to an underwriter or underwriters for reoffering to the public. </w:t>
      </w:r>
    </w:p>
    <w:p>
      <w:pPr>
        <w:pStyle w:val="TextBody"/>
        <w:bidi w:val="0"/>
        <w:spacing w:before="240" w:after="0"/>
        <w:jc w:val="left"/>
        <w:rPr/>
      </w:pPr>
      <w:r>
        <w:rPr/>
        <w:t>“</w:t>
      </w:r>
      <w:r>
        <w:rPr>
          <w:rFonts w:ascii="Times New Roman" w:hAnsi="Times New Roman"/>
          <w:b/>
          <w:sz w:val="20"/>
        </w:rPr>
        <w:t>Voting Securities</w:t>
      </w:r>
      <w:r>
        <w:rPr>
          <w:rFonts w:ascii="Times New Roman" w:hAnsi="Times New Roman"/>
          <w:sz w:val="20"/>
        </w:rPr>
        <w:t xml:space="preserve">” means shares of Parent Common Stock and any other securities of Parent entitled to vote generally in the election of directors of Parent. </w:t>
      </w:r>
    </w:p>
    <w:p>
      <w:pPr>
        <w:pStyle w:val="TextBody"/>
        <w:bidi w:val="0"/>
        <w:spacing w:before="240" w:after="0"/>
        <w:jc w:val="left"/>
        <w:rPr>
          <w:rFonts w:ascii="Times New Roman" w:hAnsi="Times New Roman"/>
          <w:b/>
          <w:sz w:val="20"/>
        </w:rPr>
      </w:pPr>
      <w:r>
        <w:rPr>
          <w:rFonts w:ascii="Times New Roman" w:hAnsi="Times New Roman"/>
          <w:b/>
          <w:sz w:val="20"/>
        </w:rPr>
        <w:t xml:space="preserve">5.2 Other Defined Terms.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38"/>
        <w:gridCol w:w="121"/>
        <w:gridCol w:w="4846"/>
      </w:tblGrid>
      <w:tr>
        <w:trPr/>
        <w:tc>
          <w:tcPr>
            <w:tcW w:w="523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46" w:type="dxa"/>
            <w:tcBorders/>
            <w:vAlign w:val="center"/>
          </w:tcPr>
          <w:p>
            <w:pPr>
              <w:pStyle w:val="TableContents"/>
              <w:bidi w:val="0"/>
              <w:spacing w:before="0" w:after="283"/>
              <w:jc w:val="left"/>
              <w:rPr>
                <w:sz w:val="4"/>
                <w:szCs w:val="4"/>
              </w:rPr>
            </w:pPr>
            <w:r>
              <w:rPr>
                <w:sz w:val="4"/>
                <w:szCs w:val="4"/>
              </w:rPr>
            </w:r>
          </w:p>
        </w:tc>
      </w:tr>
      <w:tr>
        <w:trPr/>
        <w:tc>
          <w:tcPr>
            <w:tcW w:w="5238" w:type="dxa"/>
            <w:tcBorders/>
            <w:vAlign w:val="bottom"/>
          </w:tcPr>
          <w:p>
            <w:pPr>
              <w:pStyle w:val="TableContents"/>
              <w:bidi w:val="0"/>
              <w:spacing w:before="0" w:after="283"/>
              <w:jc w:val="left"/>
              <w:rPr>
                <w:b/>
              </w:rPr>
            </w:pPr>
            <w:r>
              <w:rPr>
                <w:b/>
              </w:rPr>
              <w:t>Term</w:t>
            </w:r>
          </w:p>
        </w:tc>
        <w:tc>
          <w:tcPr>
            <w:tcW w:w="121" w:type="dxa"/>
            <w:tcBorders/>
            <w:vAlign w:val="bottom"/>
          </w:tcPr>
          <w:p>
            <w:pPr>
              <w:pStyle w:val="TableContents"/>
              <w:bidi w:val="0"/>
              <w:spacing w:before="0" w:after="283"/>
              <w:jc w:val="left"/>
              <w:rPr/>
            </w:pPr>
            <w:r>
              <w:rPr/>
              <w:t>  </w:t>
            </w:r>
          </w:p>
        </w:tc>
        <w:tc>
          <w:tcPr>
            <w:tcW w:w="4846" w:type="dxa"/>
            <w:tcBorders/>
            <w:vAlign w:val="bottom"/>
          </w:tcPr>
          <w:p>
            <w:pPr>
              <w:pStyle w:val="TableContents"/>
              <w:bidi w:val="0"/>
              <w:spacing w:before="0" w:after="283"/>
              <w:jc w:val="right"/>
              <w:rPr>
                <w:b/>
              </w:rPr>
            </w:pPr>
            <w:r>
              <w:rPr>
                <w:b/>
              </w:rPr>
              <w:t>Section</w:t>
            </w:r>
          </w:p>
        </w:tc>
      </w:tr>
      <w:tr>
        <w:trPr/>
        <w:tc>
          <w:tcPr>
            <w:tcW w:w="5238" w:type="dxa"/>
            <w:tcBorders/>
          </w:tcPr>
          <w:p>
            <w:pPr>
              <w:pStyle w:val="TableContents"/>
              <w:bidi w:val="0"/>
              <w:spacing w:before="0" w:after="283"/>
              <w:jc w:val="left"/>
              <w:rPr/>
            </w:pPr>
            <w:r>
              <w:rPr/>
              <w:t>Agreement</w:t>
            </w:r>
          </w:p>
        </w:tc>
        <w:tc>
          <w:tcPr>
            <w:tcW w:w="121"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right"/>
              <w:rPr/>
            </w:pPr>
            <w:r>
              <w:rPr/>
              <w:t>Preamble</w:t>
            </w:r>
          </w:p>
        </w:tc>
      </w:tr>
      <w:tr>
        <w:trPr/>
        <w:tc>
          <w:tcPr>
            <w:tcW w:w="5238" w:type="dxa"/>
            <w:tcBorders/>
          </w:tcPr>
          <w:p>
            <w:pPr>
              <w:pStyle w:val="TableContents"/>
              <w:bidi w:val="0"/>
              <w:spacing w:before="0" w:after="283"/>
              <w:jc w:val="left"/>
              <w:rPr/>
            </w:pPr>
            <w:r>
              <w:rPr/>
              <w:t>Closing</w:t>
            </w:r>
          </w:p>
        </w:tc>
        <w:tc>
          <w:tcPr>
            <w:tcW w:w="121"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right"/>
              <w:rPr/>
            </w:pPr>
            <w:r>
              <w:rPr/>
              <w:t>Recitals</w:t>
            </w:r>
          </w:p>
        </w:tc>
      </w:tr>
      <w:tr>
        <w:trPr/>
        <w:tc>
          <w:tcPr>
            <w:tcW w:w="5238" w:type="dxa"/>
            <w:tcBorders/>
          </w:tcPr>
          <w:p>
            <w:pPr>
              <w:pStyle w:val="TableContents"/>
              <w:bidi w:val="0"/>
              <w:spacing w:before="0" w:after="283"/>
              <w:jc w:val="left"/>
              <w:rPr/>
            </w:pPr>
            <w:r>
              <w:rPr/>
              <w:t>Company</w:t>
            </w:r>
          </w:p>
        </w:tc>
        <w:tc>
          <w:tcPr>
            <w:tcW w:w="121"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right"/>
              <w:rPr/>
            </w:pPr>
            <w:r>
              <w:rPr/>
              <w:t>Recitals</w:t>
            </w:r>
          </w:p>
        </w:tc>
      </w:tr>
      <w:tr>
        <w:trPr/>
        <w:tc>
          <w:tcPr>
            <w:tcW w:w="5238" w:type="dxa"/>
            <w:tcBorders/>
          </w:tcPr>
          <w:p>
            <w:pPr>
              <w:pStyle w:val="TableContents"/>
              <w:bidi w:val="0"/>
              <w:spacing w:before="0" w:after="283"/>
              <w:jc w:val="left"/>
              <w:rPr/>
            </w:pPr>
            <w:r>
              <w:rPr/>
              <w:t>Demand</w:t>
            </w:r>
          </w:p>
        </w:tc>
        <w:tc>
          <w:tcPr>
            <w:tcW w:w="121"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right"/>
              <w:rPr/>
            </w:pPr>
            <w:r>
              <w:rPr/>
              <w:t>4.1(a)</w:t>
            </w:r>
          </w:p>
        </w:tc>
      </w:tr>
      <w:tr>
        <w:trPr/>
        <w:tc>
          <w:tcPr>
            <w:tcW w:w="5238" w:type="dxa"/>
            <w:tcBorders/>
          </w:tcPr>
          <w:p>
            <w:pPr>
              <w:pStyle w:val="TableContents"/>
              <w:bidi w:val="0"/>
              <w:spacing w:before="0" w:after="283"/>
              <w:jc w:val="left"/>
              <w:rPr/>
            </w:pPr>
            <w:r>
              <w:rPr/>
              <w:t>Demand Registration</w:t>
            </w:r>
          </w:p>
        </w:tc>
        <w:tc>
          <w:tcPr>
            <w:tcW w:w="121"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right"/>
              <w:rPr/>
            </w:pPr>
            <w:r>
              <w:rPr/>
              <w:t>4.1(a)</w:t>
            </w:r>
          </w:p>
        </w:tc>
      </w:tr>
      <w:tr>
        <w:trPr/>
        <w:tc>
          <w:tcPr>
            <w:tcW w:w="5238" w:type="dxa"/>
            <w:tcBorders/>
          </w:tcPr>
          <w:p>
            <w:pPr>
              <w:pStyle w:val="TableContents"/>
              <w:bidi w:val="0"/>
              <w:spacing w:before="0" w:after="283"/>
              <w:jc w:val="left"/>
              <w:rPr/>
            </w:pPr>
            <w:r>
              <w:rPr/>
              <w:t>Eligibility Criteria</w:t>
            </w:r>
          </w:p>
        </w:tc>
        <w:tc>
          <w:tcPr>
            <w:tcW w:w="121"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right"/>
              <w:rPr/>
            </w:pPr>
            <w:r>
              <w:rPr/>
              <w:t>1.3(a)</w:t>
            </w:r>
          </w:p>
        </w:tc>
      </w:tr>
      <w:tr>
        <w:trPr/>
        <w:tc>
          <w:tcPr>
            <w:tcW w:w="5238" w:type="dxa"/>
            <w:tcBorders/>
          </w:tcPr>
          <w:p>
            <w:pPr>
              <w:pStyle w:val="TableContents"/>
              <w:bidi w:val="0"/>
              <w:spacing w:before="0" w:after="283"/>
              <w:jc w:val="left"/>
              <w:rPr/>
            </w:pPr>
            <w:r>
              <w:rPr/>
              <w:t>Form S-3</w:t>
            </w:r>
          </w:p>
        </w:tc>
        <w:tc>
          <w:tcPr>
            <w:tcW w:w="121"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right"/>
              <w:rPr/>
            </w:pPr>
            <w:r>
              <w:rPr/>
              <w:t>4.3(a)</w:t>
            </w:r>
          </w:p>
        </w:tc>
      </w:tr>
      <w:tr>
        <w:trPr/>
        <w:tc>
          <w:tcPr>
            <w:tcW w:w="5238" w:type="dxa"/>
            <w:tcBorders/>
          </w:tcPr>
          <w:p>
            <w:pPr>
              <w:pStyle w:val="TableContents"/>
              <w:bidi w:val="0"/>
              <w:spacing w:before="0" w:after="283"/>
              <w:jc w:val="left"/>
              <w:rPr/>
            </w:pPr>
            <w:r>
              <w:rPr/>
              <w:t>Free Writing Prospectus</w:t>
            </w:r>
          </w:p>
        </w:tc>
        <w:tc>
          <w:tcPr>
            <w:tcW w:w="121"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right"/>
              <w:rPr/>
            </w:pPr>
            <w:r>
              <w:rPr/>
              <w:t>4.5(a)(iv)</w:t>
            </w:r>
          </w:p>
        </w:tc>
      </w:tr>
      <w:tr>
        <w:trPr/>
        <w:tc>
          <w:tcPr>
            <w:tcW w:w="5238" w:type="dxa"/>
            <w:tcBorders/>
          </w:tcPr>
          <w:p>
            <w:pPr>
              <w:pStyle w:val="TableContents"/>
              <w:bidi w:val="0"/>
              <w:spacing w:before="0" w:after="283"/>
              <w:jc w:val="left"/>
              <w:rPr/>
            </w:pPr>
            <w:r>
              <w:rPr/>
              <w:t>Holder</w:t>
            </w:r>
          </w:p>
        </w:tc>
        <w:tc>
          <w:tcPr>
            <w:tcW w:w="121"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right"/>
              <w:rPr/>
            </w:pPr>
            <w:r>
              <w:rPr/>
              <w:t>4.3(a)</w:t>
            </w:r>
          </w:p>
        </w:tc>
      </w:tr>
      <w:tr>
        <w:trPr/>
        <w:tc>
          <w:tcPr>
            <w:tcW w:w="5238" w:type="dxa"/>
            <w:tcBorders/>
          </w:tcPr>
          <w:p>
            <w:pPr>
              <w:pStyle w:val="TableContents"/>
              <w:bidi w:val="0"/>
              <w:spacing w:before="0" w:after="283"/>
              <w:jc w:val="left"/>
              <w:rPr/>
            </w:pPr>
            <w:r>
              <w:rPr/>
              <w:t>Holder Indemnified Parties</w:t>
            </w:r>
          </w:p>
        </w:tc>
        <w:tc>
          <w:tcPr>
            <w:tcW w:w="121"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right"/>
              <w:rPr/>
            </w:pPr>
            <w:r>
              <w:rPr/>
              <w:t>4.8(b)</w:t>
            </w:r>
          </w:p>
        </w:tc>
      </w:tr>
      <w:tr>
        <w:trPr/>
        <w:tc>
          <w:tcPr>
            <w:tcW w:w="5238" w:type="dxa"/>
            <w:tcBorders/>
          </w:tcPr>
          <w:p>
            <w:pPr>
              <w:pStyle w:val="TableContents"/>
              <w:bidi w:val="0"/>
              <w:spacing w:before="0" w:after="283"/>
              <w:jc w:val="left"/>
              <w:rPr/>
            </w:pPr>
            <w:r>
              <w:rPr/>
              <w:t>Inspectors</w:t>
            </w:r>
          </w:p>
        </w:tc>
        <w:tc>
          <w:tcPr>
            <w:tcW w:w="121"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right"/>
              <w:rPr/>
            </w:pPr>
            <w:r>
              <w:rPr/>
              <w:t>4.5(a)(x)</w:t>
            </w:r>
          </w:p>
        </w:tc>
      </w:tr>
      <w:tr>
        <w:trPr/>
        <w:tc>
          <w:tcPr>
            <w:tcW w:w="5238" w:type="dxa"/>
            <w:tcBorders/>
          </w:tcPr>
          <w:p>
            <w:pPr>
              <w:pStyle w:val="TableContents"/>
              <w:bidi w:val="0"/>
              <w:spacing w:before="0" w:after="283"/>
              <w:jc w:val="left"/>
              <w:rPr/>
            </w:pPr>
            <w:r>
              <w:rPr/>
              <w:t>Investor</w:t>
            </w:r>
          </w:p>
        </w:tc>
        <w:tc>
          <w:tcPr>
            <w:tcW w:w="121"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right"/>
              <w:rPr/>
            </w:pPr>
            <w:r>
              <w:rPr/>
              <w:t>Preamble</w:t>
            </w:r>
          </w:p>
        </w:tc>
      </w:tr>
      <w:tr>
        <w:trPr/>
        <w:tc>
          <w:tcPr>
            <w:tcW w:w="5238" w:type="dxa"/>
            <w:tcBorders/>
          </w:tcPr>
          <w:p>
            <w:pPr>
              <w:pStyle w:val="TableContents"/>
              <w:bidi w:val="0"/>
              <w:spacing w:before="0" w:after="283"/>
              <w:jc w:val="left"/>
              <w:rPr/>
            </w:pPr>
            <w:r>
              <w:rPr/>
              <w:t>Losses</w:t>
            </w:r>
          </w:p>
        </w:tc>
        <w:tc>
          <w:tcPr>
            <w:tcW w:w="121"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right"/>
              <w:rPr/>
            </w:pPr>
            <w:r>
              <w:rPr/>
              <w:t>4.8(a)</w:t>
            </w:r>
          </w:p>
        </w:tc>
      </w:tr>
      <w:tr>
        <w:trPr/>
        <w:tc>
          <w:tcPr>
            <w:tcW w:w="5238" w:type="dxa"/>
            <w:tcBorders/>
          </w:tcPr>
          <w:p>
            <w:pPr>
              <w:pStyle w:val="TableContents"/>
              <w:bidi w:val="0"/>
              <w:spacing w:before="0" w:after="283"/>
              <w:jc w:val="left"/>
              <w:rPr/>
            </w:pPr>
            <w:r>
              <w:rPr/>
              <w:t>Merger Agreement</w:t>
            </w:r>
          </w:p>
        </w:tc>
        <w:tc>
          <w:tcPr>
            <w:tcW w:w="121"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right"/>
              <w:rPr/>
            </w:pPr>
            <w:r>
              <w:rPr/>
              <w:t>Recitals</w:t>
            </w:r>
          </w:p>
        </w:tc>
      </w:tr>
      <w:tr>
        <w:trPr/>
        <w:tc>
          <w:tcPr>
            <w:tcW w:w="5238" w:type="dxa"/>
            <w:tcBorders/>
          </w:tcPr>
          <w:p>
            <w:pPr>
              <w:pStyle w:val="TableContents"/>
              <w:bidi w:val="0"/>
              <w:spacing w:before="0" w:after="283"/>
              <w:jc w:val="left"/>
              <w:rPr/>
            </w:pPr>
            <w:r>
              <w:rPr/>
              <w:t>Merger Sub</w:t>
            </w:r>
          </w:p>
        </w:tc>
        <w:tc>
          <w:tcPr>
            <w:tcW w:w="121"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right"/>
              <w:rPr/>
            </w:pPr>
            <w:r>
              <w:rPr/>
              <w:t>Recitals</w:t>
            </w:r>
          </w:p>
        </w:tc>
      </w:tr>
      <w:tr>
        <w:trPr/>
        <w:tc>
          <w:tcPr>
            <w:tcW w:w="5238" w:type="dxa"/>
            <w:tcBorders/>
          </w:tcPr>
          <w:p>
            <w:pPr>
              <w:pStyle w:val="TableContents"/>
              <w:bidi w:val="0"/>
              <w:spacing w:before="0" w:after="283"/>
              <w:jc w:val="left"/>
              <w:rPr/>
            </w:pPr>
            <w:r>
              <w:rPr/>
              <w:t>Nasdaq</w:t>
            </w:r>
          </w:p>
        </w:tc>
        <w:tc>
          <w:tcPr>
            <w:tcW w:w="121"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right"/>
              <w:rPr/>
            </w:pPr>
            <w:r>
              <w:rPr/>
              <w:t>1.3(a)</w:t>
            </w:r>
          </w:p>
        </w:tc>
      </w:tr>
      <w:tr>
        <w:trPr/>
        <w:tc>
          <w:tcPr>
            <w:tcW w:w="5238" w:type="dxa"/>
            <w:tcBorders/>
          </w:tcPr>
          <w:p>
            <w:pPr>
              <w:pStyle w:val="TableContents"/>
              <w:bidi w:val="0"/>
              <w:spacing w:before="0" w:after="283"/>
              <w:jc w:val="left"/>
              <w:rPr/>
            </w:pPr>
            <w:r>
              <w:rPr/>
              <w:t>Other Demanding Sellers</w:t>
            </w:r>
          </w:p>
        </w:tc>
        <w:tc>
          <w:tcPr>
            <w:tcW w:w="121"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right"/>
              <w:rPr/>
            </w:pPr>
            <w:r>
              <w:rPr/>
              <w:t>4.2(b)</w:t>
            </w:r>
          </w:p>
        </w:tc>
      </w:tr>
      <w:tr>
        <w:trPr/>
        <w:tc>
          <w:tcPr>
            <w:tcW w:w="5238" w:type="dxa"/>
            <w:tcBorders/>
          </w:tcPr>
          <w:p>
            <w:pPr>
              <w:pStyle w:val="TableContents"/>
              <w:bidi w:val="0"/>
              <w:spacing w:before="0" w:after="283"/>
              <w:jc w:val="left"/>
              <w:rPr/>
            </w:pPr>
            <w:r>
              <w:rPr/>
              <w:t>Other Proposed Sellers</w:t>
            </w:r>
          </w:p>
        </w:tc>
        <w:tc>
          <w:tcPr>
            <w:tcW w:w="121"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right"/>
              <w:rPr/>
            </w:pPr>
            <w:r>
              <w:rPr/>
              <w:t>4.2(b)</w:t>
            </w:r>
          </w:p>
        </w:tc>
      </w:tr>
      <w:tr>
        <w:trPr/>
        <w:tc>
          <w:tcPr>
            <w:tcW w:w="5238" w:type="dxa"/>
            <w:tcBorders/>
          </w:tcPr>
          <w:p>
            <w:pPr>
              <w:pStyle w:val="TableContents"/>
              <w:bidi w:val="0"/>
              <w:spacing w:before="0" w:after="283"/>
              <w:jc w:val="left"/>
              <w:rPr/>
            </w:pPr>
            <w:r>
              <w:rPr/>
              <w:t>Parent</w:t>
            </w:r>
          </w:p>
        </w:tc>
        <w:tc>
          <w:tcPr>
            <w:tcW w:w="121"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right"/>
              <w:rPr/>
            </w:pPr>
            <w:r>
              <w:rPr/>
              <w:t>Preamble</w:t>
            </w:r>
          </w:p>
        </w:tc>
      </w:tr>
      <w:tr>
        <w:trPr/>
        <w:tc>
          <w:tcPr>
            <w:tcW w:w="5238" w:type="dxa"/>
            <w:tcBorders/>
          </w:tcPr>
          <w:p>
            <w:pPr>
              <w:pStyle w:val="TableContents"/>
              <w:bidi w:val="0"/>
              <w:spacing w:before="0" w:after="283"/>
              <w:jc w:val="left"/>
              <w:rPr/>
            </w:pPr>
            <w:r>
              <w:rPr/>
              <w:t>Parent Board</w:t>
            </w:r>
          </w:p>
        </w:tc>
        <w:tc>
          <w:tcPr>
            <w:tcW w:w="121"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right"/>
              <w:rPr/>
            </w:pPr>
            <w:r>
              <w:rPr/>
              <w:t>1.1</w:t>
            </w:r>
          </w:p>
        </w:tc>
      </w:tr>
      <w:tr>
        <w:trPr/>
        <w:tc>
          <w:tcPr>
            <w:tcW w:w="5238" w:type="dxa"/>
            <w:tcBorders/>
          </w:tcPr>
          <w:p>
            <w:pPr>
              <w:pStyle w:val="TableContents"/>
              <w:bidi w:val="0"/>
              <w:spacing w:before="0" w:after="283"/>
              <w:jc w:val="left"/>
              <w:rPr/>
            </w:pPr>
            <w:r>
              <w:rPr/>
              <w:t>Parent Common Stock</w:t>
            </w:r>
          </w:p>
        </w:tc>
        <w:tc>
          <w:tcPr>
            <w:tcW w:w="121"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right"/>
              <w:rPr/>
            </w:pPr>
            <w:r>
              <w:rPr/>
              <w:t>Recitals</w:t>
            </w:r>
          </w:p>
        </w:tc>
      </w:tr>
      <w:tr>
        <w:trPr/>
        <w:tc>
          <w:tcPr>
            <w:tcW w:w="5238" w:type="dxa"/>
            <w:tcBorders/>
          </w:tcPr>
          <w:p>
            <w:pPr>
              <w:pStyle w:val="TableContents"/>
              <w:bidi w:val="0"/>
              <w:spacing w:before="0" w:after="283"/>
              <w:jc w:val="left"/>
              <w:rPr/>
            </w:pPr>
            <w:r>
              <w:rPr/>
              <w:t>Parent Indemnified Parties</w:t>
            </w:r>
          </w:p>
        </w:tc>
        <w:tc>
          <w:tcPr>
            <w:tcW w:w="121"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right"/>
              <w:rPr/>
            </w:pPr>
            <w:r>
              <w:rPr/>
              <w:t>4.8(a)</w:t>
            </w:r>
          </w:p>
        </w:tc>
      </w:tr>
      <w:tr>
        <w:trPr/>
        <w:tc>
          <w:tcPr>
            <w:tcW w:w="5238" w:type="dxa"/>
            <w:tcBorders/>
          </w:tcPr>
          <w:p>
            <w:pPr>
              <w:pStyle w:val="TableContents"/>
              <w:bidi w:val="0"/>
              <w:spacing w:before="0" w:after="283"/>
              <w:jc w:val="left"/>
              <w:rPr/>
            </w:pPr>
            <w:r>
              <w:rPr/>
              <w:t>Piggyback Notice</w:t>
            </w:r>
          </w:p>
        </w:tc>
        <w:tc>
          <w:tcPr>
            <w:tcW w:w="121"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right"/>
              <w:rPr/>
            </w:pPr>
            <w:r>
              <w:rPr/>
              <w:t>4.2(a)</w:t>
            </w:r>
          </w:p>
        </w:tc>
      </w:tr>
      <w:tr>
        <w:trPr/>
        <w:tc>
          <w:tcPr>
            <w:tcW w:w="5238" w:type="dxa"/>
            <w:tcBorders/>
          </w:tcPr>
          <w:p>
            <w:pPr>
              <w:pStyle w:val="TableContents"/>
              <w:bidi w:val="0"/>
              <w:spacing w:before="0" w:after="283"/>
              <w:jc w:val="left"/>
              <w:rPr/>
            </w:pPr>
            <w:r>
              <w:rPr/>
              <w:t>Piggyback Registration</w:t>
            </w:r>
          </w:p>
        </w:tc>
        <w:tc>
          <w:tcPr>
            <w:tcW w:w="121"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right"/>
              <w:rPr/>
            </w:pPr>
            <w:r>
              <w:rPr/>
              <w:t>4.2(a)</w:t>
            </w:r>
          </w:p>
        </w:tc>
      </w:tr>
      <w:tr>
        <w:trPr/>
        <w:tc>
          <w:tcPr>
            <w:tcW w:w="5238" w:type="dxa"/>
            <w:tcBorders/>
          </w:tcPr>
          <w:p>
            <w:pPr>
              <w:pStyle w:val="TableContents"/>
              <w:bidi w:val="0"/>
              <w:spacing w:before="0" w:after="283"/>
              <w:jc w:val="left"/>
              <w:rPr/>
            </w:pPr>
            <w:r>
              <w:rPr/>
              <w:t>Records</w:t>
            </w:r>
          </w:p>
        </w:tc>
        <w:tc>
          <w:tcPr>
            <w:tcW w:w="121"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right"/>
              <w:rPr/>
            </w:pPr>
            <w:r>
              <w:rPr/>
              <w:t>4.5(a)(x)</w:t>
            </w:r>
          </w:p>
        </w:tc>
      </w:tr>
      <w:tr>
        <w:trPr/>
        <w:tc>
          <w:tcPr>
            <w:tcW w:w="5238" w:type="dxa"/>
            <w:tcBorders/>
          </w:tcPr>
          <w:p>
            <w:pPr>
              <w:pStyle w:val="TableContents"/>
              <w:bidi w:val="0"/>
              <w:spacing w:before="0" w:after="283"/>
              <w:jc w:val="left"/>
              <w:rPr/>
            </w:pPr>
            <w:r>
              <w:rPr/>
              <w:t>Representative</w:t>
            </w:r>
          </w:p>
        </w:tc>
        <w:tc>
          <w:tcPr>
            <w:tcW w:w="121"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right"/>
              <w:rPr/>
            </w:pPr>
            <w:r>
              <w:rPr/>
              <w:t>1.4(a)(i)</w:t>
            </w:r>
          </w:p>
        </w:tc>
      </w:tr>
      <w:tr>
        <w:trPr/>
        <w:tc>
          <w:tcPr>
            <w:tcW w:w="5238" w:type="dxa"/>
            <w:tcBorders/>
          </w:tcPr>
          <w:p>
            <w:pPr>
              <w:pStyle w:val="TableContents"/>
              <w:bidi w:val="0"/>
              <w:spacing w:before="0" w:after="283"/>
              <w:jc w:val="left"/>
              <w:rPr/>
            </w:pPr>
            <w:r>
              <w:rPr/>
              <w:t>Requested Information</w:t>
            </w:r>
          </w:p>
        </w:tc>
        <w:tc>
          <w:tcPr>
            <w:tcW w:w="121"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right"/>
              <w:rPr/>
            </w:pPr>
            <w:r>
              <w:rPr/>
              <w:t>4.7(a)</w:t>
            </w:r>
          </w:p>
        </w:tc>
      </w:tr>
      <w:tr>
        <w:trPr/>
        <w:tc>
          <w:tcPr>
            <w:tcW w:w="5238" w:type="dxa"/>
            <w:tcBorders/>
          </w:tcPr>
          <w:p>
            <w:pPr>
              <w:pStyle w:val="TableContents"/>
              <w:bidi w:val="0"/>
              <w:spacing w:before="0" w:after="283"/>
              <w:jc w:val="left"/>
              <w:rPr/>
            </w:pPr>
            <w:r>
              <w:rPr/>
              <w:t>Restricted Period</w:t>
            </w:r>
          </w:p>
        </w:tc>
        <w:tc>
          <w:tcPr>
            <w:tcW w:w="121"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right"/>
              <w:rPr/>
            </w:pPr>
            <w:r>
              <w:rPr/>
              <w:t>2.1(a)</w:t>
            </w:r>
          </w:p>
        </w:tc>
      </w:tr>
      <w:tr>
        <w:trPr/>
        <w:tc>
          <w:tcPr>
            <w:tcW w:w="5238" w:type="dxa"/>
            <w:tcBorders/>
          </w:tcPr>
          <w:p>
            <w:pPr>
              <w:pStyle w:val="TableContents"/>
              <w:bidi w:val="0"/>
              <w:spacing w:before="0" w:after="283"/>
              <w:jc w:val="left"/>
              <w:rPr/>
            </w:pPr>
            <w:r>
              <w:rPr/>
              <w:t>Shelf Offering</w:t>
            </w:r>
          </w:p>
        </w:tc>
        <w:tc>
          <w:tcPr>
            <w:tcW w:w="121"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right"/>
              <w:rPr/>
            </w:pPr>
            <w:r>
              <w:rPr/>
              <w:t>4.3(c)</w:t>
            </w:r>
          </w:p>
        </w:tc>
      </w:tr>
      <w:tr>
        <w:trPr/>
        <w:tc>
          <w:tcPr>
            <w:tcW w:w="5238" w:type="dxa"/>
            <w:tcBorders/>
          </w:tcPr>
          <w:p>
            <w:pPr>
              <w:pStyle w:val="TableContents"/>
              <w:bidi w:val="0"/>
              <w:spacing w:before="0" w:after="283"/>
              <w:jc w:val="left"/>
              <w:rPr/>
            </w:pPr>
            <w:r>
              <w:rPr/>
              <w:t>Shelf Registration Statement</w:t>
            </w:r>
          </w:p>
        </w:tc>
        <w:tc>
          <w:tcPr>
            <w:tcW w:w="121"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right"/>
              <w:rPr/>
            </w:pPr>
            <w:r>
              <w:rPr/>
              <w:t>4.3(a)</w:t>
            </w:r>
          </w:p>
        </w:tc>
      </w:tr>
      <w:tr>
        <w:trPr/>
        <w:tc>
          <w:tcPr>
            <w:tcW w:w="5238" w:type="dxa"/>
            <w:tcBorders/>
          </w:tcPr>
          <w:p>
            <w:pPr>
              <w:pStyle w:val="TableContents"/>
              <w:bidi w:val="0"/>
              <w:spacing w:before="0" w:after="283"/>
              <w:jc w:val="left"/>
              <w:rPr/>
            </w:pPr>
            <w:r>
              <w:rPr/>
              <w:t>Take-Down Notice</w:t>
            </w:r>
          </w:p>
        </w:tc>
        <w:tc>
          <w:tcPr>
            <w:tcW w:w="121"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right"/>
              <w:rPr/>
            </w:pPr>
            <w:r>
              <w:rPr/>
              <w:t>4.3(c)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5.3</w:t>
      </w:r>
      <w:r>
        <w:rPr>
          <w:rFonts w:ascii="Times New Roman" w:hAnsi="Times New Roman"/>
          <w:sz w:val="20"/>
        </w:rPr>
        <w:t xml:space="preserve"> </w:t>
      </w:r>
      <w:r>
        <w:rPr>
          <w:rFonts w:ascii="Times New Roman" w:hAnsi="Times New Roman"/>
          <w:b/>
          <w:sz w:val="20"/>
        </w:rPr>
        <w:t>Interpretation</w:t>
      </w:r>
      <w:r>
        <w:rPr>
          <w:rFonts w:ascii="Times New Roman" w:hAnsi="Times New Roman"/>
          <w:sz w:val="20"/>
        </w:rPr>
        <w:t xml:space="preserve">. Whenever used: the words “include,” “includes” and “including” shall be deemed to be followed by the phrase “without limitation,” and the words “hereof,” “hereunder” and “herein” and similar words shall be construed as references to this Agreement as a whole and not limited to the particular provision of the Article or Section in which the reference appears. Unless the context otherwise requires, references herein: (x) to Articles and Sections mean the Articles and Sections of this Agreement; (y) to an agreement, instrument or other document means such agreement, instrument or other document as amended, supplemented and modified from time to time to the extent permitted by the provisions thereof; and (z) to a statute, rule or regulation means such statute, rule or regulation as amended or supplemented from time to time and includes any successor legislation thereto and any rules or regulations promulgated thereunder. References to “$” or “dollars” mean United States dollars. Any reference in this Agreement to any gender shall include all genders. The meanings of defined terms are equally applicable to the singular and plural forms of the defined terms. The headings and captions herein are for convenience of reference only and do not affect the construction or interpretation of any of the provisions hereof. The word “extent” in the phrase “to the extent” shall mean the degree to which a subject or other theory extends and such phrase shall not mean “if.” The word “or” when used in this Agreement is not exclusive. If, and as often as, there is any change in the outstanding shares of Parent Common Stock by reason of any stock split, reverse stock split, stock dividend, subdivision, reclassification, recapitalization or exchange or similar reorganization of shares, appropriate adjustment shall be made in the provisions of this Agreement so as to fairly and equitably preserve, as far as practicable, the rights and obligations set forth herein that continue to be applicable on the date of such change. Any reference to “written” or “in writing” refers to printing, typing and other means of reproducing words (including electronic media) in a visible form, including e-mail. To the extent that this Agreement requires an Affiliate or Subsidiary of any party to take or omit to take any action, such covenant or agreement includes the obligation of such party to cause such Affiliate or Subsidiary to take or omit to take such action. 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by virtue of the authorship of any provision of this Agreement. References to any Person include the successors and permitted assigns of that Person. References from or through any date mean, unless otherwise specified, from and including or through and including, respectively. The word “party” is to be deemed to refer to a party hereto, unless the context requires otherwise.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6.1</w:t>
      </w:r>
      <w:r>
        <w:rPr>
          <w:rFonts w:ascii="Times New Roman" w:hAnsi="Times New Roman"/>
          <w:sz w:val="20"/>
        </w:rPr>
        <w:t xml:space="preserve"> </w:t>
      </w:r>
      <w:r>
        <w:rPr>
          <w:rFonts w:ascii="Times New Roman" w:hAnsi="Times New Roman"/>
          <w:b/>
          <w:sz w:val="20"/>
        </w:rPr>
        <w:t>Term</w:t>
      </w:r>
      <w:r>
        <w:rPr>
          <w:rFonts w:ascii="Times New Roman" w:hAnsi="Times New Roman"/>
          <w:sz w:val="20"/>
        </w:rPr>
        <w:t xml:space="preserve">. This Agreement will be effective as of the date hereof and, except as otherwise set forth herein, will continue in effect thereafter until the first date on which the Investor ceases to Beneficially Own any Voting Securities;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the provisions contained in </w:t>
      </w:r>
      <w:r>
        <w:rPr>
          <w:rFonts w:ascii="Times New Roman" w:hAnsi="Times New Roman"/>
          <w:sz w:val="20"/>
          <w:u w:val="single"/>
        </w:rPr>
        <w:t>Article IV</w:t>
      </w:r>
      <w:r>
        <w:rPr>
          <w:rFonts w:ascii="Times New Roman" w:hAnsi="Times New Roman"/>
          <w:sz w:val="20"/>
        </w:rPr>
        <w:t xml:space="preserve"> of this Agreement, except </w:t>
      </w:r>
      <w:r>
        <w:rPr>
          <w:rFonts w:ascii="Times New Roman" w:hAnsi="Times New Roman"/>
          <w:sz w:val="20"/>
          <w:u w:val="single"/>
        </w:rPr>
        <w:t>Section 4.8</w:t>
      </w:r>
      <w:r>
        <w:rPr>
          <w:rFonts w:ascii="Times New Roman" w:hAnsi="Times New Roman"/>
          <w:sz w:val="20"/>
        </w:rPr>
        <w:t xml:space="preserve"> (Registration Indemnification), shall survive so long as there are, and shall automatically terminate when there are no longer, any Registrable Securities outstanding and (b)</w:t>
      </w:r>
      <w:r>
        <w:rPr>
          <w:rFonts w:ascii="Times New Roman" w:hAnsi="Times New Roman"/>
          <w:sz w:val="20"/>
          <w:u w:val="single"/>
        </w:rPr>
        <w:t> Section 1.4</w:t>
      </w:r>
      <w:r>
        <w:rPr>
          <w:rFonts w:ascii="Times New Roman" w:hAnsi="Times New Roman"/>
          <w:sz w:val="20"/>
        </w:rPr>
        <w:t xml:space="preserve"> (Confidentiality), the representations and warranties of the Investor and Parent in </w:t>
      </w:r>
      <w:r>
        <w:rPr>
          <w:rFonts w:ascii="Times New Roman" w:hAnsi="Times New Roman"/>
          <w:sz w:val="20"/>
          <w:u w:val="single"/>
        </w:rPr>
        <w:t>Section 3.1</w:t>
      </w:r>
      <w:r>
        <w:rPr>
          <w:rFonts w:ascii="Times New Roman" w:hAnsi="Times New Roman"/>
          <w:sz w:val="20"/>
        </w:rPr>
        <w:t xml:space="preserve"> and </w:t>
      </w:r>
      <w:r>
        <w:rPr>
          <w:rFonts w:ascii="Times New Roman" w:hAnsi="Times New Roman"/>
          <w:sz w:val="20"/>
          <w:u w:val="single"/>
        </w:rPr>
        <w:t>Section 3.2</w:t>
      </w:r>
      <w:r>
        <w:rPr>
          <w:rFonts w:ascii="Times New Roman" w:hAnsi="Times New Roman"/>
          <w:sz w:val="20"/>
        </w:rPr>
        <w:t xml:space="preserve">, respectively, the indemnity and contribution provisions contained in </w:t>
      </w:r>
      <w:r>
        <w:rPr>
          <w:rFonts w:ascii="Times New Roman" w:hAnsi="Times New Roman"/>
          <w:sz w:val="20"/>
          <w:u w:val="single"/>
        </w:rPr>
        <w:t>Section 4.8</w:t>
      </w:r>
      <w:r>
        <w:rPr>
          <w:rFonts w:ascii="Times New Roman" w:hAnsi="Times New Roman"/>
          <w:sz w:val="20"/>
        </w:rPr>
        <w:t xml:space="preserve"> (Registration Indemnification), </w:t>
      </w:r>
      <w:r>
        <w:rPr>
          <w:rFonts w:ascii="Times New Roman" w:hAnsi="Times New Roman"/>
          <w:sz w:val="20"/>
          <w:u w:val="single"/>
        </w:rPr>
        <w:t>Article V</w:t>
      </w:r>
      <w:r>
        <w:rPr>
          <w:rFonts w:ascii="Times New Roman" w:hAnsi="Times New Roman"/>
          <w:sz w:val="20"/>
        </w:rPr>
        <w:t xml:space="preserve">, and this </w:t>
      </w:r>
      <w:r>
        <w:rPr>
          <w:rFonts w:ascii="Times New Roman" w:hAnsi="Times New Roman"/>
          <w:sz w:val="20"/>
          <w:u w:val="single"/>
        </w:rPr>
        <w:t>Article VI</w:t>
      </w:r>
      <w:r>
        <w:rPr>
          <w:rFonts w:ascii="Times New Roman" w:hAnsi="Times New Roman"/>
          <w:sz w:val="20"/>
        </w:rPr>
        <w:t xml:space="preserve"> shall survive any termination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6.2 Notices. </w:t>
      </w:r>
    </w:p>
    <w:p>
      <w:pPr>
        <w:pStyle w:val="TextBody"/>
        <w:bidi w:val="0"/>
        <w:spacing w:before="240" w:after="0"/>
        <w:jc w:val="left"/>
        <w:rPr>
          <w:rFonts w:ascii="Times New Roman" w:hAnsi="Times New Roman"/>
          <w:sz w:val="20"/>
        </w:rPr>
      </w:pPr>
      <w:r>
        <w:rPr>
          <w:rFonts w:ascii="Times New Roman" w:hAnsi="Times New Roman"/>
          <w:sz w:val="20"/>
        </w:rPr>
        <w:t xml:space="preserve">(a) Notices and other statements in connection with this Agreement shall be in writing and shall be delivered by hand, email or overnight courier to the recipient’s address as set forth below or to such other address as a party hereto may notify to the other parties hereto from time to time and shall be given: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Parent,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816"/>
        <w:gridCol w:w="7553"/>
      </w:tblGrid>
      <w:tr>
        <w:trPr/>
        <w:tc>
          <w:tcPr>
            <w:tcW w:w="1836"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Name:</w:t>
            </w:r>
          </w:p>
        </w:tc>
        <w:tc>
          <w:tcPr>
            <w:tcW w:w="755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Smith &amp; Wesson Brands,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25"/>
        <w:gridCol w:w="851"/>
        <w:gridCol w:w="7529"/>
      </w:tblGrid>
      <w:tr>
        <w:trPr/>
        <w:tc>
          <w:tcPr>
            <w:tcW w:w="1825" w:type="dxa"/>
            <w:tcBorders/>
            <w:vAlign w:val="center"/>
          </w:tcPr>
          <w:p>
            <w:pPr>
              <w:pStyle w:val="TableContents"/>
              <w:bidi w:val="0"/>
              <w:spacing w:before="0" w:after="283"/>
              <w:jc w:val="left"/>
              <w:rPr/>
            </w:pPr>
            <w:r>
              <w:rPr/>
              <w:t> </w:t>
            </w:r>
          </w:p>
        </w:tc>
        <w:tc>
          <w:tcPr>
            <w:tcW w:w="851" w:type="dxa"/>
            <w:tcBorders/>
          </w:tcPr>
          <w:p>
            <w:pPr>
              <w:pStyle w:val="TableContents"/>
              <w:bidi w:val="0"/>
              <w:spacing w:before="0" w:after="283"/>
              <w:jc w:val="left"/>
              <w:rPr/>
            </w:pPr>
            <w:r>
              <w:rPr/>
              <w:t>Address:</w:t>
            </w:r>
          </w:p>
        </w:tc>
        <w:tc>
          <w:tcPr>
            <w:tcW w:w="752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1852 Proffitt Springs Road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816"/>
        <w:gridCol w:w="7553"/>
      </w:tblGrid>
      <w:tr>
        <w:trPr/>
        <w:tc>
          <w:tcPr>
            <w:tcW w:w="1836"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 </w:t>
            </w:r>
          </w:p>
        </w:tc>
        <w:tc>
          <w:tcPr>
            <w:tcW w:w="755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Maryville, TN 37801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06"/>
        <w:gridCol w:w="908"/>
        <w:gridCol w:w="7491"/>
      </w:tblGrid>
      <w:tr>
        <w:trPr/>
        <w:tc>
          <w:tcPr>
            <w:tcW w:w="1806" w:type="dxa"/>
            <w:tcBorders/>
            <w:vAlign w:val="center"/>
          </w:tcPr>
          <w:p>
            <w:pPr>
              <w:pStyle w:val="TableContents"/>
              <w:bidi w:val="0"/>
              <w:spacing w:before="0" w:after="283"/>
              <w:jc w:val="left"/>
              <w:rPr/>
            </w:pPr>
            <w:r>
              <w:rPr/>
              <w:t> </w:t>
            </w:r>
          </w:p>
        </w:tc>
        <w:tc>
          <w:tcPr>
            <w:tcW w:w="908" w:type="dxa"/>
            <w:tcBorders/>
          </w:tcPr>
          <w:p>
            <w:pPr>
              <w:pStyle w:val="TableContents"/>
              <w:bidi w:val="0"/>
              <w:spacing w:before="0" w:after="283"/>
              <w:jc w:val="left"/>
              <w:rPr/>
            </w:pPr>
            <w:r>
              <w:rPr/>
              <w:t>Attention:</w:t>
            </w:r>
          </w:p>
        </w:tc>
        <w:tc>
          <w:tcPr>
            <w:tcW w:w="7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Kevin Maxwell </w:t>
            </w:r>
          </w:p>
        </w:tc>
      </w:tr>
    </w:tbl>
    <w:tbl>
      <w:tblPr>
        <w:tblW w:w="5000" w:type="pct"/>
        <w:jc w:val="left"/>
        <w:tblInd w:w="0" w:type="dxa"/>
        <w:tblLayout w:type="fixed"/>
        <w:tblCellMar>
          <w:top w:w="0" w:type="dxa"/>
          <w:left w:w="0" w:type="dxa"/>
          <w:bottom w:w="0" w:type="dxa"/>
          <w:right w:w="0" w:type="dxa"/>
        </w:tblCellMar>
      </w:tblPr>
      <w:tblGrid>
        <w:gridCol w:w="1836"/>
        <w:gridCol w:w="817"/>
        <w:gridCol w:w="7552"/>
      </w:tblGrid>
      <w:tr>
        <w:trPr/>
        <w:tc>
          <w:tcPr>
            <w:tcW w:w="1836" w:type="dxa"/>
            <w:tcBorders/>
            <w:vAlign w:val="center"/>
          </w:tcPr>
          <w:p>
            <w:pPr>
              <w:pStyle w:val="TableContents"/>
              <w:bidi w:val="0"/>
              <w:spacing w:before="0" w:after="283"/>
              <w:jc w:val="left"/>
              <w:rPr/>
            </w:pPr>
            <w:r>
              <w:rPr/>
              <w:t> </w:t>
            </w:r>
          </w:p>
        </w:tc>
        <w:tc>
          <w:tcPr>
            <w:tcW w:w="817" w:type="dxa"/>
            <w:tcBorders/>
          </w:tcPr>
          <w:p>
            <w:pPr>
              <w:pStyle w:val="TableContents"/>
              <w:bidi w:val="0"/>
              <w:spacing w:before="0" w:after="283"/>
              <w:jc w:val="left"/>
              <w:rPr/>
            </w:pPr>
            <w:r>
              <w:rPr/>
              <w:t>Email:</w:t>
            </w:r>
          </w:p>
        </w:tc>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be considered notice):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816"/>
        <w:gridCol w:w="7553"/>
      </w:tblGrid>
      <w:tr>
        <w:trPr/>
        <w:tc>
          <w:tcPr>
            <w:tcW w:w="1836"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Name:</w:t>
            </w:r>
          </w:p>
        </w:tc>
        <w:tc>
          <w:tcPr>
            <w:tcW w:w="755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Bass, Berry &amp; Sims PLC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29"/>
        <w:gridCol w:w="835"/>
        <w:gridCol w:w="7541"/>
      </w:tblGrid>
      <w:tr>
        <w:trPr/>
        <w:tc>
          <w:tcPr>
            <w:tcW w:w="1829" w:type="dxa"/>
            <w:tcBorders/>
            <w:vAlign w:val="center"/>
          </w:tcPr>
          <w:p>
            <w:pPr>
              <w:pStyle w:val="TableContents"/>
              <w:bidi w:val="0"/>
              <w:spacing w:before="0" w:after="283"/>
              <w:jc w:val="left"/>
              <w:rPr/>
            </w:pPr>
            <w:r>
              <w:rPr/>
              <w:t> </w:t>
            </w:r>
          </w:p>
        </w:tc>
        <w:tc>
          <w:tcPr>
            <w:tcW w:w="835" w:type="dxa"/>
            <w:tcBorders/>
          </w:tcPr>
          <w:p>
            <w:pPr>
              <w:pStyle w:val="TableContents"/>
              <w:bidi w:val="0"/>
              <w:spacing w:before="0" w:after="283"/>
              <w:jc w:val="left"/>
              <w:rPr/>
            </w:pPr>
            <w:r>
              <w:rPr/>
              <w:t>Address:</w:t>
            </w:r>
          </w:p>
        </w:tc>
        <w:tc>
          <w:tcPr>
            <w:tcW w:w="754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21 Platform Way South, Suite 3500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2"/>
        <w:gridCol w:w="814"/>
        <w:gridCol w:w="7559"/>
      </w:tblGrid>
      <w:tr>
        <w:trPr/>
        <w:tc>
          <w:tcPr>
            <w:tcW w:w="1832" w:type="dxa"/>
            <w:tcBorders/>
            <w:vAlign w:val="center"/>
          </w:tcPr>
          <w:p>
            <w:pPr>
              <w:pStyle w:val="TableContents"/>
              <w:bidi w:val="0"/>
              <w:spacing w:before="0" w:after="283"/>
              <w:jc w:val="left"/>
              <w:rPr/>
            </w:pPr>
            <w:r>
              <w:rPr/>
              <w:t> </w:t>
            </w:r>
          </w:p>
        </w:tc>
        <w:tc>
          <w:tcPr>
            <w:tcW w:w="814" w:type="dxa"/>
            <w:tcBorders/>
          </w:tcPr>
          <w:p>
            <w:pPr>
              <w:pStyle w:val="TableContents"/>
              <w:bidi w:val="0"/>
              <w:spacing w:before="0" w:after="283"/>
              <w:jc w:val="left"/>
              <w:rPr/>
            </w:pPr>
            <w:r>
              <w:rPr/>
              <w:t> </w:t>
            </w:r>
          </w:p>
        </w:tc>
        <w:tc>
          <w:tcPr>
            <w:tcW w:w="755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Nashville, TN 37203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01"/>
        <w:gridCol w:w="922"/>
        <w:gridCol w:w="7482"/>
      </w:tblGrid>
      <w:tr>
        <w:trPr/>
        <w:tc>
          <w:tcPr>
            <w:tcW w:w="1801" w:type="dxa"/>
            <w:tcBorders/>
            <w:vAlign w:val="center"/>
          </w:tcPr>
          <w:p>
            <w:pPr>
              <w:pStyle w:val="TableContents"/>
              <w:bidi w:val="0"/>
              <w:spacing w:before="0" w:after="283"/>
              <w:jc w:val="left"/>
              <w:rPr/>
            </w:pPr>
            <w:r>
              <w:rPr/>
              <w:t> </w:t>
            </w:r>
          </w:p>
        </w:tc>
        <w:tc>
          <w:tcPr>
            <w:tcW w:w="922" w:type="dxa"/>
            <w:tcBorders/>
          </w:tcPr>
          <w:p>
            <w:pPr>
              <w:pStyle w:val="TableContents"/>
              <w:bidi w:val="0"/>
              <w:spacing w:before="0" w:after="283"/>
              <w:jc w:val="left"/>
              <w:rPr/>
            </w:pPr>
            <w:r>
              <w:rPr/>
              <w:t>Attention:</w:t>
            </w:r>
          </w:p>
        </w:tc>
        <w:tc>
          <w:tcPr>
            <w:tcW w:w="74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Tatjana Paterno; Tyler Huseman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816"/>
        <w:gridCol w:w="7553"/>
      </w:tblGrid>
      <w:tr>
        <w:trPr/>
        <w:tc>
          <w:tcPr>
            <w:tcW w:w="1836"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Email:</w:t>
            </w:r>
          </w:p>
        </w:tc>
        <w:tc>
          <w:tcPr>
            <w:tcW w:w="755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tpaterno@bassberry.com; </w:t>
            </w:r>
          </w:p>
        </w:tc>
      </w:tr>
    </w:tbl>
    <w:tbl>
      <w:tblPr>
        <w:tblW w:w="5000" w:type="pct"/>
        <w:jc w:val="left"/>
        <w:tblInd w:w="0" w:type="dxa"/>
        <w:tblLayout w:type="fixed"/>
        <w:tblCellMar>
          <w:top w:w="0" w:type="dxa"/>
          <w:left w:w="0" w:type="dxa"/>
          <w:bottom w:w="0" w:type="dxa"/>
          <w:right w:w="0" w:type="dxa"/>
        </w:tblCellMar>
      </w:tblPr>
      <w:tblGrid>
        <w:gridCol w:w="1836"/>
        <w:gridCol w:w="816"/>
        <w:gridCol w:w="7553"/>
      </w:tblGrid>
      <w:tr>
        <w:trPr/>
        <w:tc>
          <w:tcPr>
            <w:tcW w:w="1836"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 </w:t>
            </w:r>
          </w:p>
        </w:tc>
        <w:tc>
          <w:tcPr>
            <w:tcW w:w="755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tyler.huseman@bassberry.com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the Investor,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7"/>
        <w:gridCol w:w="815"/>
        <w:gridCol w:w="7553"/>
      </w:tblGrid>
      <w:tr>
        <w:trPr/>
        <w:tc>
          <w:tcPr>
            <w:tcW w:w="1837" w:type="dxa"/>
            <w:tcBorders/>
            <w:vAlign w:val="center"/>
          </w:tcPr>
          <w:p>
            <w:pPr>
              <w:pStyle w:val="TableContents"/>
              <w:bidi w:val="0"/>
              <w:spacing w:before="0" w:after="283"/>
              <w:jc w:val="left"/>
              <w:rPr/>
            </w:pPr>
            <w:r>
              <w:rPr/>
              <w:t> </w:t>
            </w:r>
          </w:p>
        </w:tc>
        <w:tc>
          <w:tcPr>
            <w:tcW w:w="815" w:type="dxa"/>
            <w:tcBorders/>
          </w:tcPr>
          <w:p>
            <w:pPr>
              <w:pStyle w:val="TableContents"/>
              <w:bidi w:val="0"/>
              <w:spacing w:before="0" w:after="283"/>
              <w:jc w:val="left"/>
              <w:rPr/>
            </w:pPr>
            <w:r>
              <w:rPr/>
              <w:t>Name:</w:t>
            </w:r>
          </w:p>
        </w:tc>
        <w:tc>
          <w:tcPr>
            <w:tcW w:w="755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Savarms,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25"/>
        <w:gridCol w:w="852"/>
        <w:gridCol w:w="7528"/>
      </w:tblGrid>
      <w:tr>
        <w:trPr/>
        <w:tc>
          <w:tcPr>
            <w:tcW w:w="1825" w:type="dxa"/>
            <w:tcBorders/>
            <w:vAlign w:val="center"/>
          </w:tcPr>
          <w:p>
            <w:pPr>
              <w:pStyle w:val="TableContents"/>
              <w:bidi w:val="0"/>
              <w:spacing w:before="0" w:after="283"/>
              <w:jc w:val="left"/>
              <w:rPr/>
            </w:pPr>
            <w:r>
              <w:rPr/>
              <w:t> </w:t>
            </w:r>
          </w:p>
        </w:tc>
        <w:tc>
          <w:tcPr>
            <w:tcW w:w="852" w:type="dxa"/>
            <w:tcBorders/>
          </w:tcPr>
          <w:p>
            <w:pPr>
              <w:pStyle w:val="TableContents"/>
              <w:bidi w:val="0"/>
              <w:spacing w:before="0" w:after="283"/>
              <w:jc w:val="left"/>
              <w:rPr/>
            </w:pPr>
            <w:r>
              <w:rPr/>
              <w:t>Address:</w:t>
            </w:r>
          </w:p>
        </w:tc>
        <w:tc>
          <w:tcPr>
            <w:tcW w:w="75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1111 Travis Street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7"/>
        <w:gridCol w:w="809"/>
        <w:gridCol w:w="7559"/>
      </w:tblGrid>
      <w:tr>
        <w:trPr/>
        <w:tc>
          <w:tcPr>
            <w:tcW w:w="1837" w:type="dxa"/>
            <w:tcBorders/>
            <w:vAlign w:val="center"/>
          </w:tcPr>
          <w:p>
            <w:pPr>
              <w:pStyle w:val="TableContents"/>
              <w:bidi w:val="0"/>
              <w:spacing w:before="0" w:after="283"/>
              <w:jc w:val="left"/>
              <w:rPr/>
            </w:pPr>
            <w:r>
              <w:rPr/>
              <w:t> </w:t>
            </w:r>
          </w:p>
        </w:tc>
        <w:tc>
          <w:tcPr>
            <w:tcW w:w="809" w:type="dxa"/>
            <w:tcBorders/>
          </w:tcPr>
          <w:p>
            <w:pPr>
              <w:pStyle w:val="TableContents"/>
              <w:bidi w:val="0"/>
              <w:spacing w:before="0" w:after="283"/>
              <w:jc w:val="left"/>
              <w:rPr/>
            </w:pPr>
            <w:r>
              <w:rPr/>
              <w:t> </w:t>
            </w:r>
          </w:p>
        </w:tc>
        <w:tc>
          <w:tcPr>
            <w:tcW w:w="755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Houston, TX 77002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798"/>
        <w:gridCol w:w="928"/>
        <w:gridCol w:w="7479"/>
      </w:tblGrid>
      <w:tr>
        <w:trPr/>
        <w:tc>
          <w:tcPr>
            <w:tcW w:w="1798" w:type="dxa"/>
            <w:tcBorders/>
            <w:vAlign w:val="center"/>
          </w:tcPr>
          <w:p>
            <w:pPr>
              <w:pStyle w:val="TableContents"/>
              <w:bidi w:val="0"/>
              <w:spacing w:before="0" w:after="283"/>
              <w:jc w:val="left"/>
              <w:rPr/>
            </w:pPr>
            <w:r>
              <w:rPr/>
              <w:t> </w:t>
            </w:r>
          </w:p>
        </w:tc>
        <w:tc>
          <w:tcPr>
            <w:tcW w:w="928" w:type="dxa"/>
            <w:tcBorders/>
          </w:tcPr>
          <w:p>
            <w:pPr>
              <w:pStyle w:val="TableContents"/>
              <w:bidi w:val="0"/>
              <w:spacing w:before="0" w:after="283"/>
              <w:jc w:val="left"/>
              <w:rPr/>
            </w:pPr>
            <w:r>
              <w:rPr/>
              <w:t>Attention:</w:t>
            </w:r>
          </w:p>
        </w:tc>
        <w:tc>
          <w:tcPr>
            <w:tcW w:w="74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Ryan Connelly </w:t>
            </w:r>
          </w:p>
        </w:tc>
      </w:tr>
    </w:tbl>
    <w:tbl>
      <w:tblPr>
        <w:tblW w:w="5000" w:type="pct"/>
        <w:jc w:val="left"/>
        <w:tblInd w:w="0" w:type="dxa"/>
        <w:tblLayout w:type="fixed"/>
        <w:tblCellMar>
          <w:top w:w="0" w:type="dxa"/>
          <w:left w:w="0" w:type="dxa"/>
          <w:bottom w:w="0" w:type="dxa"/>
          <w:right w:w="0" w:type="dxa"/>
        </w:tblCellMar>
      </w:tblPr>
      <w:tblGrid>
        <w:gridCol w:w="1836"/>
        <w:gridCol w:w="817"/>
        <w:gridCol w:w="7552"/>
      </w:tblGrid>
      <w:tr>
        <w:trPr/>
        <w:tc>
          <w:tcPr>
            <w:tcW w:w="1836" w:type="dxa"/>
            <w:tcBorders/>
            <w:vAlign w:val="center"/>
          </w:tcPr>
          <w:p>
            <w:pPr>
              <w:pStyle w:val="TableContents"/>
              <w:bidi w:val="0"/>
              <w:spacing w:before="0" w:after="283"/>
              <w:jc w:val="left"/>
              <w:rPr/>
            </w:pPr>
            <w:r>
              <w:rPr/>
              <w:t> </w:t>
            </w:r>
          </w:p>
        </w:tc>
        <w:tc>
          <w:tcPr>
            <w:tcW w:w="817" w:type="dxa"/>
            <w:tcBorders/>
          </w:tcPr>
          <w:p>
            <w:pPr>
              <w:pStyle w:val="TableContents"/>
              <w:bidi w:val="0"/>
              <w:spacing w:before="0" w:after="283"/>
              <w:jc w:val="left"/>
              <w:rPr/>
            </w:pPr>
            <w:r>
              <w:rPr/>
              <w:t>Email:</w:t>
            </w:r>
          </w:p>
        </w:tc>
        <w:tc>
          <w:tcPr>
            <w:tcW w:w="75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be considered notice):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816"/>
        <w:gridCol w:w="7553"/>
      </w:tblGrid>
      <w:tr>
        <w:trPr/>
        <w:tc>
          <w:tcPr>
            <w:tcW w:w="1836"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Name:</w:t>
            </w:r>
          </w:p>
        </w:tc>
        <w:tc>
          <w:tcPr>
            <w:tcW w:w="755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Latham &amp; Watkins LLP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25"/>
        <w:gridCol w:w="852"/>
        <w:gridCol w:w="7528"/>
      </w:tblGrid>
      <w:tr>
        <w:trPr/>
        <w:tc>
          <w:tcPr>
            <w:tcW w:w="1825" w:type="dxa"/>
            <w:tcBorders/>
            <w:vAlign w:val="center"/>
          </w:tcPr>
          <w:p>
            <w:pPr>
              <w:pStyle w:val="TableContents"/>
              <w:bidi w:val="0"/>
              <w:spacing w:before="0" w:after="283"/>
              <w:jc w:val="left"/>
              <w:rPr/>
            </w:pPr>
            <w:r>
              <w:rPr/>
              <w:t> </w:t>
            </w:r>
          </w:p>
        </w:tc>
        <w:tc>
          <w:tcPr>
            <w:tcW w:w="852" w:type="dxa"/>
            <w:tcBorders/>
          </w:tcPr>
          <w:p>
            <w:pPr>
              <w:pStyle w:val="TableContents"/>
              <w:bidi w:val="0"/>
              <w:spacing w:before="0" w:after="283"/>
              <w:jc w:val="left"/>
              <w:rPr/>
            </w:pPr>
            <w:r>
              <w:rPr/>
              <w:t>Address:</w:t>
            </w:r>
          </w:p>
        </w:tc>
        <w:tc>
          <w:tcPr>
            <w:tcW w:w="75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811 Main Street, Suite 3700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7"/>
        <w:gridCol w:w="809"/>
        <w:gridCol w:w="7559"/>
      </w:tblGrid>
      <w:tr>
        <w:trPr/>
        <w:tc>
          <w:tcPr>
            <w:tcW w:w="1837" w:type="dxa"/>
            <w:tcBorders/>
            <w:vAlign w:val="center"/>
          </w:tcPr>
          <w:p>
            <w:pPr>
              <w:pStyle w:val="TableContents"/>
              <w:bidi w:val="0"/>
              <w:spacing w:before="0" w:after="283"/>
              <w:jc w:val="left"/>
              <w:rPr/>
            </w:pPr>
            <w:r>
              <w:rPr/>
              <w:t> </w:t>
            </w:r>
          </w:p>
        </w:tc>
        <w:tc>
          <w:tcPr>
            <w:tcW w:w="809" w:type="dxa"/>
            <w:tcBorders/>
          </w:tcPr>
          <w:p>
            <w:pPr>
              <w:pStyle w:val="TableContents"/>
              <w:bidi w:val="0"/>
              <w:spacing w:before="0" w:after="283"/>
              <w:jc w:val="left"/>
              <w:rPr/>
            </w:pPr>
            <w:r>
              <w:rPr/>
              <w:t> </w:t>
            </w:r>
          </w:p>
        </w:tc>
        <w:tc>
          <w:tcPr>
            <w:tcW w:w="755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Houston, TX 77002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04"/>
        <w:gridCol w:w="905"/>
        <w:gridCol w:w="7496"/>
      </w:tblGrid>
      <w:tr>
        <w:trPr/>
        <w:tc>
          <w:tcPr>
            <w:tcW w:w="1804" w:type="dxa"/>
            <w:tcBorders/>
            <w:vAlign w:val="center"/>
          </w:tcPr>
          <w:p>
            <w:pPr>
              <w:pStyle w:val="TableContents"/>
              <w:bidi w:val="0"/>
              <w:spacing w:before="0" w:after="283"/>
              <w:jc w:val="left"/>
              <w:rPr/>
            </w:pPr>
            <w:r>
              <w:rPr/>
              <w:t> </w:t>
            </w:r>
          </w:p>
        </w:tc>
        <w:tc>
          <w:tcPr>
            <w:tcW w:w="905" w:type="dxa"/>
            <w:tcBorders/>
          </w:tcPr>
          <w:p>
            <w:pPr>
              <w:pStyle w:val="TableContents"/>
              <w:bidi w:val="0"/>
              <w:spacing w:before="0" w:after="283"/>
              <w:jc w:val="left"/>
              <w:rPr/>
            </w:pPr>
            <w:r>
              <w:rPr/>
              <w:t>Attention:</w:t>
            </w:r>
          </w:p>
        </w:tc>
        <w:tc>
          <w:tcPr>
            <w:tcW w:w="74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Ryan Maierson; Nick Dhesi; Bruce Herzog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816"/>
        <w:gridCol w:w="7553"/>
      </w:tblGrid>
      <w:tr>
        <w:trPr/>
        <w:tc>
          <w:tcPr>
            <w:tcW w:w="1836"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Email:</w:t>
            </w:r>
          </w:p>
        </w:tc>
        <w:tc>
          <w:tcPr>
            <w:tcW w:w="755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Ryan.Maierson@lw.com;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5"/>
        <w:gridCol w:w="816"/>
        <w:gridCol w:w="7554"/>
      </w:tblGrid>
      <w:tr>
        <w:trPr/>
        <w:tc>
          <w:tcPr>
            <w:tcW w:w="1835"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 </w:t>
            </w:r>
          </w:p>
        </w:tc>
        <w:tc>
          <w:tcPr>
            <w:tcW w:w="755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Nick.Dhesi@lw.com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816"/>
        <w:gridCol w:w="7553"/>
      </w:tblGrid>
      <w:tr>
        <w:trPr/>
        <w:tc>
          <w:tcPr>
            <w:tcW w:w="1836"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 </w:t>
            </w:r>
          </w:p>
        </w:tc>
        <w:tc>
          <w:tcPr>
            <w:tcW w:w="755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Bruce.Herzog@lw.com </w:t>
            </w:r>
          </w:p>
        </w:tc>
      </w:tr>
    </w:tbl>
    <w:p>
      <w:pPr>
        <w:pStyle w:val="TextBody"/>
        <w:bidi w:val="0"/>
        <w:spacing w:before="240" w:after="0"/>
        <w:jc w:val="left"/>
        <w:rPr>
          <w:rFonts w:ascii="Times New Roman" w:hAnsi="Times New Roman"/>
          <w:sz w:val="20"/>
        </w:rPr>
      </w:pPr>
      <w:r>
        <w:rPr>
          <w:rFonts w:ascii="Times New Roman" w:hAnsi="Times New Roman"/>
          <w:sz w:val="20"/>
        </w:rPr>
        <w:t xml:space="preserve">(b) A notice shall be effective upon receipt and shall be deemed to have been received: (i) at the time of delivery, if delivered by hand, or overnight courier; or (ii) at the time of transmission if sent by email (receipt confirmation requested). </w:t>
      </w:r>
    </w:p>
    <w:p>
      <w:pPr>
        <w:pStyle w:val="TextBody"/>
        <w:bidi w:val="0"/>
        <w:spacing w:before="240" w:after="0"/>
        <w:jc w:val="left"/>
        <w:rPr>
          <w:rFonts w:ascii="Times New Roman" w:hAnsi="Times New Roman"/>
          <w:sz w:val="20"/>
        </w:rPr>
      </w:pPr>
      <w:r>
        <w:rPr>
          <w:rFonts w:ascii="Times New Roman" w:hAnsi="Times New Roman"/>
          <w:b/>
          <w:sz w:val="20"/>
        </w:rPr>
        <w:t>6.3</w:t>
      </w:r>
      <w:r>
        <w:rPr>
          <w:rFonts w:ascii="Times New Roman" w:hAnsi="Times New Roman"/>
          <w:sz w:val="20"/>
        </w:rPr>
        <w:t xml:space="preserve"> </w:t>
      </w:r>
      <w:r>
        <w:rPr>
          <w:rFonts w:ascii="Times New Roman" w:hAnsi="Times New Roman"/>
          <w:b/>
          <w:sz w:val="20"/>
        </w:rPr>
        <w:t>Amendments and Waivers</w:t>
      </w:r>
      <w:r>
        <w:rPr>
          <w:rFonts w:ascii="Times New Roman" w:hAnsi="Times New Roman"/>
          <w:sz w:val="20"/>
        </w:rPr>
        <w:t xml:space="preserve">. Each of the parties hereto agrees that no provision of this Agreement may be amended or modified unless such amendment or modification is in writing and signed by Parent and the Investor.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 </w:t>
      </w:r>
    </w:p>
    <w:p>
      <w:pPr>
        <w:pStyle w:val="TextBody"/>
        <w:bidi w:val="0"/>
        <w:spacing w:before="240" w:after="0"/>
        <w:jc w:val="left"/>
        <w:rPr>
          <w:rFonts w:ascii="Times New Roman" w:hAnsi="Times New Roman"/>
          <w:sz w:val="20"/>
        </w:rPr>
      </w:pPr>
      <w:r>
        <w:rPr>
          <w:rFonts w:ascii="Times New Roman" w:hAnsi="Times New Roman"/>
          <w:b/>
          <w:sz w:val="20"/>
        </w:rPr>
        <w:t>6.4</w:t>
      </w:r>
      <w:r>
        <w:rPr>
          <w:rFonts w:ascii="Times New Roman" w:hAnsi="Times New Roman"/>
          <w:sz w:val="20"/>
        </w:rPr>
        <w:t xml:space="preserve"> </w:t>
      </w:r>
      <w:r>
        <w:rPr>
          <w:rFonts w:ascii="Times New Roman" w:hAnsi="Times New Roman"/>
          <w:b/>
          <w:sz w:val="20"/>
        </w:rPr>
        <w:t>Successors and Assigns</w:t>
      </w:r>
      <w:r>
        <w:rPr>
          <w:rFonts w:ascii="Times New Roman" w:hAnsi="Times New Roman"/>
          <w:sz w:val="20"/>
        </w:rPr>
        <w:t xml:space="preserve">. The provisions of this Agreement shall be binding upon and inure to the benefit of the parties hereto and their respective successors and assigns; </w:t>
      </w:r>
      <w:r>
        <w:rPr>
          <w:rFonts w:ascii="Times New Roman" w:hAnsi="Times New Roman"/>
          <w:sz w:val="20"/>
          <w:u w:val="single"/>
        </w:rPr>
        <w:t>provided</w:t>
      </w:r>
      <w:r>
        <w:rPr>
          <w:rFonts w:ascii="Times New Roman" w:hAnsi="Times New Roman"/>
          <w:sz w:val="20"/>
        </w:rPr>
        <w:t xml:space="preserve">, that, except in connection with a change in control, no party may assign, delegate or otherwise transfer any of its rights or obligations under this Agreement without the consent of the other party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6.5</w:t>
      </w:r>
      <w:r>
        <w:rPr>
          <w:rFonts w:ascii="Times New Roman" w:hAnsi="Times New Roman"/>
          <w:sz w:val="20"/>
        </w:rPr>
        <w:t xml:space="preserve"> </w:t>
      </w:r>
      <w:r>
        <w:rPr>
          <w:rFonts w:ascii="Times New Roman" w:hAnsi="Times New Roman"/>
          <w:b/>
          <w:sz w:val="20"/>
        </w:rPr>
        <w:t>Severability</w:t>
      </w:r>
      <w:r>
        <w:rPr>
          <w:rFonts w:ascii="Times New Roman" w:hAnsi="Times New Roman"/>
          <w:sz w:val="20"/>
        </w:rPr>
        <w:t xml:space="preserve">. It is the intent of the parties that the provisions of this Agreement shall be enforced to the fullest extent permissible under Applicable Law and public policies applied in each jurisdiction in which enforcement is sought. If any particular provision or portion of this Agreement shall be adjudicated to be invalid or unenforceable, such provision or portion thereof shall be deemed amended to the minimum extent necessary to render such provision or portion valid and enforceable, and such amendment will apply only with respect to the operation of such provision or portion in the particular jurisdiction in which such adjudication is made. </w:t>
      </w:r>
    </w:p>
    <w:p>
      <w:pPr>
        <w:pStyle w:val="TextBody"/>
        <w:bidi w:val="0"/>
        <w:spacing w:before="240" w:after="0"/>
        <w:jc w:val="left"/>
        <w:rPr>
          <w:rFonts w:ascii="Times New Roman" w:hAnsi="Times New Roman"/>
          <w:sz w:val="20"/>
        </w:rPr>
      </w:pPr>
      <w:r>
        <w:rPr>
          <w:rFonts w:ascii="Times New Roman" w:hAnsi="Times New Roman"/>
          <w:b/>
          <w:sz w:val="20"/>
        </w:rPr>
        <w:t>6.6</w:t>
      </w:r>
      <w:r>
        <w:rPr>
          <w:rFonts w:ascii="Times New Roman" w:hAnsi="Times New Roman"/>
          <w:sz w:val="20"/>
        </w:rPr>
        <w:t xml:space="preserve"> </w:t>
      </w:r>
      <w:r>
        <w:rPr>
          <w:rFonts w:ascii="Times New Roman" w:hAnsi="Times New Roman"/>
          <w:b/>
          <w:sz w:val="20"/>
        </w:rPr>
        <w:t>Counterparts</w:t>
      </w:r>
      <w:r>
        <w:rPr>
          <w:rFonts w:ascii="Times New Roman" w:hAnsi="Times New Roman"/>
          <w:sz w:val="20"/>
        </w:rPr>
        <w:t xml:space="preserve">. This Agreement may be executed in two or more counterparts, all of which shall be considered one and the same agreement and shall become effective when counterparts have been signed by each of the parties and delivered to the other parties, it being understood that each party need not sign the same counterpart. This Agreement and any signed agreement or instrument entered into in connection with this Agreement, and any amendments or waivers hereto or thereto, to the extent signed and delivered by means of electronic signature or by e-mail delivery of an electronic data file, shall be treated in all manner and respects as an original agreement or instrument and shall be considered to have the same binding legal effect as if it were the original signed version thereof delivered in person. No party hereto or to any such agreement or instrument shall raise the use of electronic signature or e-mail delivery of an electronic data file to deliver a signature to this Agreement or any amendment hereto or the fact that any signature or agreement or instrument was transmitted or communicated through the use of electronic signature or e-mail delivery of an electronic data file as a defense to the formation of a contract and each party hereto forever waives any such defense. </w:t>
      </w:r>
    </w:p>
    <w:p>
      <w:pPr>
        <w:pStyle w:val="TextBody"/>
        <w:bidi w:val="0"/>
        <w:spacing w:before="240" w:after="0"/>
        <w:jc w:val="left"/>
        <w:rPr>
          <w:rFonts w:ascii="Times New Roman" w:hAnsi="Times New Roman"/>
          <w:sz w:val="20"/>
        </w:rPr>
      </w:pPr>
      <w:r>
        <w:rPr>
          <w:rFonts w:ascii="Times New Roman" w:hAnsi="Times New Roman"/>
          <w:b/>
          <w:sz w:val="20"/>
        </w:rPr>
        <w:t>6.7</w:t>
      </w:r>
      <w:r>
        <w:rPr>
          <w:rFonts w:ascii="Times New Roman" w:hAnsi="Times New Roman"/>
          <w:sz w:val="20"/>
        </w:rPr>
        <w:t xml:space="preserve"> </w:t>
      </w:r>
      <w:r>
        <w:rPr>
          <w:rFonts w:ascii="Times New Roman" w:hAnsi="Times New Roman"/>
          <w:b/>
          <w:sz w:val="20"/>
        </w:rPr>
        <w:t>Entire Agreement</w:t>
      </w:r>
      <w:r>
        <w:rPr>
          <w:rFonts w:ascii="Times New Roman" w:hAnsi="Times New Roman"/>
          <w:sz w:val="20"/>
        </w:rPr>
        <w:t xml:space="preserve">. This Agreement (including the documents and the instruments referred to in this Agreement) constitutes the entire agreement and supersedes all prior agreements and understandings, both written and oral, between the parties with respect to the subject matter of this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6.8 Governing Law; Jurisdiction; WAIVER OF JURY TRIAL.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shall be governed by and construed in accordance with the law of the State of Nevada, without regard to the conflicts of law rules of such state that would cause the law of any other jurisdiction to apply. </w:t>
      </w:r>
    </w:p>
    <w:p>
      <w:pPr>
        <w:pStyle w:val="TextBody"/>
        <w:bidi w:val="0"/>
        <w:spacing w:before="240" w:after="0"/>
        <w:jc w:val="left"/>
        <w:rPr>
          <w:rFonts w:ascii="Times New Roman" w:hAnsi="Times New Roman"/>
          <w:sz w:val="20"/>
        </w:rPr>
      </w:pPr>
      <w:r>
        <w:rPr>
          <w:rFonts w:ascii="Times New Roman" w:hAnsi="Times New Roman"/>
          <w:sz w:val="20"/>
        </w:rPr>
        <w:t xml:space="preserve">(b) The parties hereto agree that any suit, action or proceeding seeking to enforce any provision of, or based on any matter arising out of or in connection with, this Agreement or the transactions contemplated hereby shall be brought exclusively in the Eighth Judicial District Court of the State of Nevada located in Clark County, Nevada, or in the event (but only in the event) that such court does not have subject matter jurisdiction over such dispute, any other state court of the State of Nevada having subject matter jurisdiction, or in the event (but only in the event) that no state court of the State of Nevada has subject matter jurisdiction over such dispute, the United States District Court for the District of Nevada, and that any cause of action arising out of this Agreement shall be deemed to have arisen from a transaction of business in the State of Nevada,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w:t>
      </w:r>
      <w:r>
        <w:rPr>
          <w:rFonts w:ascii="Times New Roman" w:hAnsi="Times New Roman"/>
          <w:sz w:val="20"/>
          <w:u w:val="single"/>
        </w:rPr>
        <w:t>Section 6.2</w:t>
      </w:r>
      <w:r>
        <w:rPr>
          <w:rFonts w:ascii="Times New Roman" w:hAnsi="Times New Roman"/>
          <w:sz w:val="20"/>
        </w:rPr>
        <w:t xml:space="preserve"> shall be deemed effective service of process on such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OF THE PARTIES HERETO HEREBY IRREVOCABLY WAIVES ANY AND ALL RIGHT TO TRIAL BY JURY IN ANY LEGAL PROCEEDING ARISING OUT OF OR RELATED TO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b/>
          <w:sz w:val="20"/>
        </w:rPr>
        <w:t>6.9</w:t>
      </w:r>
      <w:r>
        <w:rPr>
          <w:rFonts w:ascii="Times New Roman" w:hAnsi="Times New Roman"/>
          <w:sz w:val="20"/>
        </w:rPr>
        <w:t xml:space="preserve"> </w:t>
      </w:r>
      <w:r>
        <w:rPr>
          <w:rFonts w:ascii="Times New Roman" w:hAnsi="Times New Roman"/>
          <w:b/>
          <w:sz w:val="20"/>
        </w:rPr>
        <w:t>Specific Performance</w:t>
      </w:r>
      <w:r>
        <w:rPr>
          <w:rFonts w:ascii="Times New Roman" w:hAnsi="Times New Roman"/>
          <w:sz w:val="20"/>
        </w:rPr>
        <w:t xml:space="preserve">. The parties hereto agree that irreparable damage would occur, and that the parties would not have any adequate remedy at law,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specifically enforce the terms and provisions of this Agreement, without proof of actual damages or otherwise, in addition to any other remedy to which any party is entitled at law or in equity. Each party agrees to waive any requirement for the securing or posting of any bond in connection with such remedy. The parties further agree not to assert that a remedy of specific enforcement is unenforceable, invalid, contrary to law or inequitable for any reason, nor to assert that a remedy of monetary damages would provide an adequate remedy. </w:t>
      </w:r>
    </w:p>
    <w:p>
      <w:pPr>
        <w:pStyle w:val="TextBody"/>
        <w:bidi w:val="0"/>
        <w:spacing w:before="240" w:after="0"/>
        <w:jc w:val="left"/>
        <w:rPr>
          <w:rFonts w:ascii="Times New Roman" w:hAnsi="Times New Roman"/>
          <w:sz w:val="20"/>
        </w:rPr>
      </w:pPr>
      <w:r>
        <w:rPr>
          <w:rFonts w:ascii="Times New Roman" w:hAnsi="Times New Roman"/>
          <w:b/>
          <w:sz w:val="20"/>
        </w:rPr>
        <w:t>6.10</w:t>
      </w:r>
      <w:r>
        <w:rPr>
          <w:rFonts w:ascii="Times New Roman" w:hAnsi="Times New Roman"/>
          <w:sz w:val="20"/>
        </w:rPr>
        <w:t xml:space="preserve"> </w:t>
      </w:r>
      <w:r>
        <w:rPr>
          <w:rFonts w:ascii="Times New Roman" w:hAnsi="Times New Roman"/>
          <w:b/>
          <w:sz w:val="20"/>
        </w:rPr>
        <w:t>No Third-Party Beneficiaries</w:t>
      </w:r>
      <w:r>
        <w:rPr>
          <w:rFonts w:ascii="Times New Roman" w:hAnsi="Times New Roman"/>
          <w:sz w:val="20"/>
        </w:rPr>
        <w:t xml:space="preserve">. Nothing in this Agreement shall confer any rights upon any Person other than the parties hereto and each such party’s respective heirs, successors and permitted assigns; </w:t>
      </w:r>
      <w:r>
        <w:rPr>
          <w:rFonts w:ascii="Times New Roman" w:hAnsi="Times New Roman"/>
          <w:sz w:val="20"/>
          <w:u w:val="single"/>
        </w:rPr>
        <w:t>provided</w:t>
      </w:r>
      <w:r>
        <w:rPr>
          <w:rFonts w:ascii="Times New Roman" w:hAnsi="Times New Roman"/>
          <w:sz w:val="20"/>
        </w:rPr>
        <w:t xml:space="preserve">, that the Parent Indemnified Parties and the Holder Indemnified Parties are intended third party beneficiaries of </w:t>
      </w:r>
      <w:r>
        <w:rPr>
          <w:rFonts w:ascii="Times New Roman" w:hAnsi="Times New Roman"/>
          <w:sz w:val="20"/>
          <w:u w:val="single"/>
        </w:rPr>
        <w:t>Section 4.8</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this page intentionally left blank; 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duly executed this Agreement by their authorized representatives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4"/>
        <w:gridCol w:w="60"/>
        <w:gridCol w:w="3338"/>
      </w:tblGrid>
      <w:tr>
        <w:trPr/>
        <w:tc>
          <w:tcPr>
            <w:tcW w:w="68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PARENT</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SMITH &amp; WESSON BRANDS, INC.</w:t>
            </w:r>
          </w:p>
        </w:tc>
      </w:tr>
      <w:tr>
        <w:trPr>
          <w:trHeight w:val="240" w:hRule="atLeast"/>
        </w:trPr>
        <w:tc>
          <w:tcPr>
            <w:tcW w:w="684" w:type="dxa"/>
            <w:tcBorders/>
            <w:vAlign w:val="center"/>
          </w:tcPr>
          <w:p>
            <w:pPr>
              <w:pStyle w:val="TableContents"/>
              <w:bidi w:val="0"/>
              <w:spacing w:before="0" w:after="283"/>
              <w:jc w:val="left"/>
              <w:rPr>
                <w:sz w:val="4"/>
                <w:szCs w:val="4"/>
              </w:rPr>
            </w:pPr>
            <w:r>
              <w:rPr>
                <w:sz w:val="4"/>
                <w:szCs w:val="4"/>
              </w:rPr>
            </w:r>
          </w:p>
        </w:tc>
        <w:tc>
          <w:tcPr>
            <w:tcW w:w="3398"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P. Smith</w:t>
            </w:r>
          </w:p>
        </w:tc>
      </w:tr>
      <w:tr>
        <w:trPr/>
        <w:tc>
          <w:tcPr>
            <w:tcW w:w="68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8" w:type="dxa"/>
            <w:tcBorders/>
          </w:tcPr>
          <w:p>
            <w:pPr>
              <w:pStyle w:val="TableContents"/>
              <w:bidi w:val="0"/>
              <w:spacing w:before="0" w:after="283"/>
              <w:jc w:val="left"/>
              <w:rPr/>
            </w:pPr>
            <w:r>
              <w:rPr/>
              <w:t>Mark P. Smith</w:t>
            </w:r>
          </w:p>
        </w:tc>
      </w:tr>
      <w:tr>
        <w:trPr/>
        <w:tc>
          <w:tcPr>
            <w:tcW w:w="68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8" w:type="dxa"/>
            <w:tcBorders/>
          </w:tcPr>
          <w:p>
            <w:pPr>
              <w:pStyle w:val="TableContents"/>
              <w:bidi w:val="0"/>
              <w:spacing w:before="0" w:after="283"/>
              <w:jc w:val="left"/>
              <w:rPr/>
            </w:pPr>
            <w:r>
              <w:rPr/>
              <w:t>President and Chief Executive Officer</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Investor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duly executed this Agreement by their authorized representatives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3"/>
        <w:gridCol w:w="60"/>
        <w:gridCol w:w="3359"/>
      </w:tblGrid>
      <w:tr>
        <w:trPr/>
        <w:tc>
          <w:tcPr>
            <w:tcW w:w="6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INVESTOR</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SAVARMS, L.P.</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JDH Capital Company</w:t>
            </w:r>
          </w:p>
        </w:tc>
      </w:tr>
      <w:tr>
        <w:trPr/>
        <w:tc>
          <w:tcPr>
            <w:tcW w:w="663" w:type="dxa"/>
            <w:tcBorders/>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General Partner</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Fertitta</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Michael Fertitta</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Managing Director</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Investor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I </w:t>
      </w:r>
    </w:p>
    <w:p>
      <w:pPr>
        <w:pStyle w:val="TextBody"/>
        <w:bidi w:val="0"/>
        <w:spacing w:before="240" w:after="0"/>
        <w:jc w:val="center"/>
        <w:rPr>
          <w:rFonts w:ascii="Times New Roman" w:hAnsi="Times New Roman"/>
          <w:sz w:val="20"/>
        </w:rPr>
      </w:pPr>
      <w:r>
        <w:rPr>
          <w:rFonts w:ascii="Times New Roman" w:hAnsi="Times New Roman"/>
          <w:sz w:val="20"/>
        </w:rPr>
        <w:t xml:space="preserve">[Omitted.]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 </w:t>
      </w:r>
    </w:p>
    <w:p>
      <w:pPr>
        <w:pStyle w:val="TextBody"/>
        <w:bidi w:val="0"/>
        <w:spacing w:before="0" w:after="0"/>
        <w:jc w:val="right"/>
        <w:rPr>
          <w:rFonts w:ascii="Times New Roman" w:hAnsi="Times New Roman"/>
          <w:b/>
          <w:sz w:val="20"/>
        </w:rPr>
      </w:pPr>
      <w:bookmarkStart w:id="6" w:name="d166089dex991.htm"/>
      <w:bookmarkStart w:id="7" w:name="ksd166089dex991"/>
      <w:bookmarkEnd w:id="6"/>
      <w:bookmarkEnd w:id="7"/>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6791325"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791325" cy="6667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Smith &amp; Wesson Acquires Savage Arms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Creates leading U.S. firearms manufacturer, bringing together two iconic American brands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Meaningfully expands Smith</w:t>
            </w:r>
            <w:r>
              <w:rPr>
                <w:rFonts w:ascii="Times New Roman" w:hAnsi="Times New Roman"/>
                <w:sz w:val="20"/>
              </w:rPr>
              <w:t> </w:t>
            </w:r>
            <w:r>
              <w:rPr>
                <w:rFonts w:ascii="Times New Roman" w:hAnsi="Times New Roman"/>
                <w:i/>
                <w:sz w:val="20"/>
              </w:rPr>
              <w:t>&amp; Wesson’s presence in hunting category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Expected to be immediately cash accretive to full year earnings per share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Aligns JDH Capital with SWBI stockholders, with JDH Capital becoming Smith</w:t>
            </w:r>
            <w:r>
              <w:rPr>
                <w:rFonts w:ascii="Times New Roman" w:hAnsi="Times New Roman"/>
                <w:sz w:val="20"/>
              </w:rPr>
              <w:t> </w:t>
            </w:r>
            <w:r>
              <w:rPr>
                <w:rFonts w:ascii="Times New Roman" w:hAnsi="Times New Roman"/>
                <w:i/>
                <w:sz w:val="20"/>
              </w:rPr>
              <w:t>&amp; Wesson’s largest stockholder and gaining board representation</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b/>
          <w:sz w:val="20"/>
        </w:rPr>
        <w:t>MARYVILLE, Tenn., October</w:t>
      </w:r>
      <w:r>
        <w:rPr>
          <w:rFonts w:ascii="Times New Roman" w:hAnsi="Times New Roman"/>
          <w:sz w:val="20"/>
        </w:rPr>
        <w:t> </w:t>
      </w:r>
      <w:r>
        <w:rPr>
          <w:rFonts w:ascii="Times New Roman" w:hAnsi="Times New Roman"/>
          <w:b/>
          <w:sz w:val="20"/>
        </w:rPr>
        <w:t>21, 2026 – Smith</w:t>
      </w:r>
      <w:r>
        <w:rPr>
          <w:rFonts w:ascii="Times New Roman" w:hAnsi="Times New Roman"/>
          <w:sz w:val="20"/>
        </w:rPr>
        <w:t> </w:t>
      </w:r>
      <w:r>
        <w:rPr>
          <w:rFonts w:ascii="Times New Roman" w:hAnsi="Times New Roman"/>
          <w:b/>
          <w:sz w:val="20"/>
        </w:rPr>
        <w:t>&amp; Wesson Brands, Inc. (NASDAQ Global Select: SWBI)</w:t>
      </w:r>
      <w:r>
        <w:rPr>
          <w:rFonts w:ascii="Times New Roman" w:hAnsi="Times New Roman"/>
          <w:sz w:val="20"/>
        </w:rPr>
        <w:t xml:space="preserve">, a U.S.-based leader in firearm manufacturing and design (“Smith &amp; Wesson”), today announced that it has acquired the Savage Arms business (“Savage Arms” or “Savage”) by merger from an indirect subsidiary of JDH Capital I, L.P. (together with its affiliates, “JDH”). Savage has been producing firearms for more than 130 years and is one of the world’s largest manufacturers of hunting, competition and target shooting centerfire and rimfire rifles and shotguns.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combines two iconic American firearm manufacturers with leading capabilities across distinct segments of the firearms market. Savage’s strength in hunting and bolt-action rifles is highly complementary to Smith &amp; Wesson’s leadership position in handguns and growing presence across other long gun categories, creating a broader product portfolio across a wide range of shooting disciplines. </w:t>
      </w:r>
    </w:p>
    <w:p>
      <w:pPr>
        <w:pStyle w:val="TextBody"/>
        <w:bidi w:val="0"/>
        <w:spacing w:before="240" w:after="0"/>
        <w:jc w:val="left"/>
        <w:rPr>
          <w:rFonts w:ascii="Times New Roman" w:hAnsi="Times New Roman"/>
          <w:sz w:val="20"/>
        </w:rPr>
      </w:pPr>
      <w:r>
        <w:rPr>
          <w:rFonts w:ascii="Times New Roman" w:hAnsi="Times New Roman"/>
          <w:sz w:val="20"/>
        </w:rPr>
        <w:t xml:space="preserve">Mark Smith, President and Chief Executive Officer of Smith &amp; Wesson, commented, “The acquisition of Savage is a transformative step for Smith &amp; Wesson and an important milestone in our strategy to be the undisputed market leader in the firearm industry. Savage’s brand heritage, culture, and longstanding reputation for performance and innovation align closely with our own, and the business meaningfully expands our presence in the hunting category. By bringing these two companies together, we have created a broader, stronger platform with significant opportunities to better serve our customers, accelerate innovation, realize operating efficiencies and drive long-term value for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Michael Fertitta, Managing Director of JDH, commented, “Savage has a storied history spanning more than 132 years, and we are incredibly proud of the business and brand the Savage team has built. Smith &amp; Wesson is a natural partner for Savage given the complementary strengths of the two companies and their shared commitment to quality, innovation and serving the firearms community. We are excited about the potential of the combined business and look forward to participating in its continued success as a significant Smith &amp; Wesson stockholder.” </w:t>
      </w:r>
    </w:p>
    <w:p>
      <w:pPr>
        <w:pStyle w:val="TextBody"/>
        <w:bidi w:val="0"/>
        <w:spacing w:before="360" w:after="0"/>
        <w:jc w:val="left"/>
        <w:rPr>
          <w:rFonts w:ascii="Times New Roman" w:hAnsi="Times New Roman"/>
          <w:b/>
          <w:sz w:val="20"/>
        </w:rPr>
      </w:pPr>
      <w:r>
        <w:rPr>
          <w:rFonts w:ascii="Times New Roman" w:hAnsi="Times New Roman"/>
          <w:b/>
          <w:sz w:val="20"/>
        </w:rPr>
        <w:t xml:space="preserve">Financial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Savage generated approximately $160 million of net sales for the twelve-month period ending September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 is expected to immediately deliver approximately $18 million of incremental EBITDAS on a full year basis, with additional upside after synergy realization.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Excluding acquisition-related accounting and transaction costs, the transaction is expected to be immediately accretive to Smith &amp; Wesson’s fully diluted earnings per share by approximately $0.04 for the remainder of fiscal 2027, with full-year fully diluted accretion expected of $0.07 per share, excluding acquisition accounting.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realization of initial synergies and excluding acquisition accounting, the transaction is expected to deliver full-year fully diluted accretion of approximately $0.10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closing, Smith &amp; Wesson maintains a strong balance sheet, with only a 1.16 net leverage ratio on a pro forma estimated basis. </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Transaction Details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 values Savage at $160.0 million, subject to customary adjustments, and was completed on October 21,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represents approximately 7.9x Savage’s Adjusted EBITDA for the twelve-month period ending September 30, 2026, after giving effect to expected initial annual run rate synergies of $2.5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is comprised of a combination of Smith &amp; Wesson equity and cash, consisting of approximately 9 million shares of Smith &amp; Wesson common stock, valued at $13.62 per share (i.e. the volume weighted average price per share of Smith &amp; Wesson common stock on the Nasdaq Global Select Market for the 45 consecutive trading days ending on (and including) the third trading day immediately prior to the closing date), and $37.5 million of cash.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closing, JDH owns 16.7% of Smith &amp; Wesson’s outstanding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terms of the investor rights agreement between the parties, Smith &amp; Wesson has filled an existing vacancy on its board of directors and appointed a representative from JDH to the board, which now includes seven directors. </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Other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 Davidson &amp; Co. acted as financial advisor to Smith &amp; Wesson and Bass, Berry &amp; Sims PLC acted as its legal counsel.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Latham &amp; Watkins acted as legal counsel to JDH and Savage. </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About Smith &amp; Wesson Brands, Inc. </w:t>
      </w:r>
    </w:p>
    <w:p>
      <w:pPr>
        <w:pStyle w:val="TextBody"/>
        <w:bidi w:val="0"/>
        <w:spacing w:before="120" w:after="0"/>
        <w:jc w:val="left"/>
        <w:rPr>
          <w:rFonts w:ascii="Times New Roman" w:hAnsi="Times New Roman"/>
          <w:sz w:val="20"/>
        </w:rPr>
      </w:pPr>
      <w:r>
        <w:rPr>
          <w:rFonts w:ascii="Times New Roman" w:hAnsi="Times New Roman"/>
          <w:sz w:val="20"/>
        </w:rPr>
        <w:t xml:space="preserve">Smith &amp; Wesson Brands, Inc. (NASDAQ Global Select: SWBI) is a U.S.-based leader in firearm manufacturing and design, delivering a broad portfolio of quality handgun, long gun, and suppressor products to the global consumer and professional markets under the iconic Smith &amp; Wesson® and Gemtech® brands. Additionally, the company provides manufacturing services such as forging and machining to third parties and offers world-class firearm training programs to Law Enforcement/Military departments and civilians at the Smith &amp; Wesson Academy in Maryville, Tennessee. For more information, call (844) 363-5386 or visit www.smith-wesson.com.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About Savage </w:t>
      </w:r>
    </w:p>
    <w:p>
      <w:pPr>
        <w:pStyle w:val="TextBody"/>
        <w:bidi w:val="0"/>
        <w:spacing w:before="120" w:after="0"/>
        <w:jc w:val="left"/>
        <w:rPr>
          <w:rFonts w:ascii="Times New Roman" w:hAnsi="Times New Roman"/>
          <w:sz w:val="20"/>
        </w:rPr>
      </w:pPr>
      <w:r>
        <w:rPr>
          <w:rFonts w:ascii="Times New Roman" w:hAnsi="Times New Roman"/>
          <w:sz w:val="20"/>
        </w:rPr>
        <w:t>Headquartered in Westfield, Massachusetts, Savage has been producing firearms for more than 130 years. Savage is one of the world’s largest manufacturers of hunting, competition and target shooting centerfire and rimfire rifles, and shotguns. Its firearms are known for accuracy, performance and innovation. The entrepreneurial spirit that originally defined the company is still evident in its ongoing focus on continuous innovation, craftsmanship, quality and service. Learn more at www.savagearms.com.</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About Savage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financial results for Savage presented in this press release have been derived from financial statements prepared by Savage, without adjustment to conform to the accounting principles and methodologies used by Smith &amp; Wesson. The accounting policies and methodologies used by Savage differ in certain respects from those used by Smith &amp; Wesson, but Smith &amp; Wesson does not believe these differences are material.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About JDH Capital </w:t>
      </w:r>
    </w:p>
    <w:p>
      <w:pPr>
        <w:pStyle w:val="TextBody"/>
        <w:bidi w:val="0"/>
        <w:spacing w:before="120" w:after="0"/>
        <w:jc w:val="left"/>
        <w:rPr>
          <w:rFonts w:ascii="Times New Roman" w:hAnsi="Times New Roman"/>
          <w:sz w:val="20"/>
        </w:rPr>
      </w:pPr>
      <w:r>
        <w:rPr>
          <w:rFonts w:ascii="Times New Roman" w:hAnsi="Times New Roman"/>
          <w:sz w:val="20"/>
        </w:rPr>
        <w:t xml:space="preserve">JDH Capital is a private investment firm based in Houston, Texas and was established in 2017. JDH Capital engages in a wide range of investment activities and has the flexibility to invest in a broad range of asset classes across multiple industries. JDH Capital endeavors to partner with our portfolio companies to generate consistent risk-adjusted returns over a long-time horizon. Find more information at www.jdhcap.com.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Certain statements contained in this press release may be deemed to be forward-looking statements under federal securities laws, and we intend that such forward-looking statements be subject to the safe-harbor created thereby. Such forward-looking statements include, among others, statements regarding the transaction, integration and transition plans, synergies, opportunities and anticipated future performance. We caution that these statements are qualified by important risks, uncertainties, and other factors that could cause actual results to differ materially from those reflected by such forward-looking statements. Such factors include, among others, the risk that expected benefits, synergies and growth opportunities of the transaction may not be achieved in a timely manner or at all; the risk that Smith &amp; Wesson will be unable to retain or hire key personnel; the ability to successfully integrate Savage’s business with Smith &amp; Wesson; the risk that disruption from the transaction may adversely affect Smith &amp; Wesson’s and Savage’s businesses and their respective relationships with customers, vendors or employees; economic, social, political, legislative, and regulatory factors; the impact of tariffs; the potential for increased regulation of firearms and firearm-related products; actions of social activists that could have an adverse effect on our business; the impact of lawsuits; the demand for our products; the state of the U.S. economy in general and the firearm industry in particular; general economic conditions and consumer spending patterns; our competitive environment; the supply, availability, and costs of raw materials and components; our anticipated growth and growth opportunities; our strategies; our ability to maintain and enhance brand recognition and reputation; our ability to effectively manage and execute the relocation; our ability to introduce new products and the success of new products; the potential for cancellation of orders from our backlog; and other risks detailed from time to time in our reports filed with the Securities and Exchange Commission, including our Annual Report on Form 10-K for the fiscal year ended April 30, 2026.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Investor Relations </w:t>
      </w:r>
    </w:p>
    <w:p>
      <w:pPr>
        <w:pStyle w:val="TextBody"/>
        <w:bidi w:val="0"/>
        <w:spacing w:before="0" w:after="0"/>
        <w:jc w:val="left"/>
        <w:rPr>
          <w:rFonts w:ascii="Times New Roman" w:hAnsi="Times New Roman"/>
          <w:sz w:val="20"/>
        </w:rPr>
      </w:pPr>
      <w:r>
        <w:rPr>
          <w:rFonts w:ascii="Times New Roman" w:hAnsi="Times New Roman"/>
          <w:sz w:val="20"/>
          <w:u w:val="single"/>
        </w:rPr>
        <w:t>investorrelations@smith-wesson.com</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(413) 747-3448 </w:t>
      </w:r>
    </w:p>
    <w:p>
      <w:pPr>
        <w:pStyle w:val="TextBody"/>
        <w:bidi w:val="0"/>
        <w:spacing w:before="0" w:after="0"/>
        <w:jc w:val="center"/>
        <w:rPr/>
      </w:pPr>
      <w:bookmarkStart w:id="8" w:name="d166089dex992.htm"/>
      <w:bookmarkStart w:id="9" w:name="ksd166089dex992"/>
      <w:bookmarkEnd w:id="8"/>
      <w:bookmarkEnd w:id="9"/>
      <w:r>
        <w:rPr/>
        <w:drawing>
          <wp:inline distT="0" distB="0" distL="0" distR="0">
            <wp:extent cx="3657600" cy="2057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57600" cy="2057400"/>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BUILDING THE LEADING AMERICAN FIREARMS COMPANY Two American Legacies. One Company. A Bigger Future. Exhibit 99.2</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FORWARD-LOOKING STATEMENTS Certain statements contained herein may be deemed to be forward-looking statements under federal securities laws, and we intend that such forward-looking statements be subject to the safe-harbor created thereby. Such forward-looking statements include, among others, statements regarding the transaction, integration and transition plans, synergies, opportunities and anticipated future performance. We caution that these statements are qualified by important risks, uncertainties, and other factors that could cause actual results to differ materially from those reflected by such forward-looking statements. Such factors include, among others, the risk that expected benefits, synergies and growth opportunities of the transaction may not be achieved in a timely manner or at all; the risk that Smith &amp; Wesson will be unable to retain or hire key personnel; the ability to successfully integrate Savage’s business with Smith &amp; Wesson; the risk that disruption from the transaction may adversely affect Smith &amp; Wesson’s and Savage’s businesses and their respective relationships with customers, vendors or employees; economic, social, political, legislative, and regulatory factors; the impact of tariffs; the potential for increased regulation of firearms and firearm-related products; actions of social activists that could have an adverse effect on our business; the impact of lawsuits; the demand for our products; the state of the U.S. economy in general and the firearm industry in particular; general economic conditions and consumer spending patterns; our competitive environment; the supply, availability, and costs of raw materials and components; our anticipated growth and growth opportunities; our strategies; our ability to maintain and enhance brand recognition and reputation; our ability to effectively manage and execute the relocation; our ability to introduce new products and the success of new products; the potential for cancellation of orders from our backlog; and other risks detailed from time to time in our reports filed with the Securities and Exchange Commission, including our Annual Report on Form 10-K for the fiscal year ended April 30,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SMITH &amp; WESSON TODAY REVENUE FIREARMS SHIPPED WORKFORCE LOCATIONS BRAND POWER $551M* 1.1M* 1,719 3 174 Years Market Leadership Built on a Position of Strength SOURCE:* TTM July 2026</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SAVAGE TODAY A Historic Brand with Strong Consumer Loyalty REVENUE FIREARMS SHIPPED WORKFORCE LOCATIONS BRAND POWER $160M* 500K* 508 2 132 Years SOURCE: *TTM September 2026</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$711M** Combined Revenue 1.6M** Firearms Shipped 5 Manufacturing Facilities 2,227 Employees 300+ Years of Combined Brand Heritage STRONGER TOGETHER A Natural Strategic Fit. SOURCE: **TTM SWBI July 2026/ TTM Savage Arms September 2026 #1 Producer of Firearms in America &amp; U.S. Commercial Market Share* SOURCE: *FY2026 YTD – September Dollars/Units sold</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Shared customers make up ~ 80%* of business Increased prominence with our customers Many of the same dealers, distributors, and big-box partners, and the same hunters, shooters, and sportsmen and women. One-stop shop for firearms Existing vendor, supply chain, and distribution relationships create immediate go-to-market efficiency. Complementary trade channel strengths Immediately one of the largest commercial firearms manufacturers in the U.S., with a full line. TRADE CHANNEL EFFICIENCY Distributors Buy Groups Strategic Retailers Hunting Law Enforcement Military US Commercial Firearms Unlocking cross-selling and shared customer opportunities Create greater value from the customers we already serve while opening doors to new opportunities neither company could capture as effectively on its own. SOURCE: *TTM SWBI July 2026/ TTM Savage Arms September 2026</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PURE-PLAY FIREARMS COMPANY The Most Complete Product Portfolio in the Industry Category Smith &amp; Wesson Savage Combined Pistols ✓ ✓ Revolvers ✓ ✓ Modern Sporting Rifles ✓ ✓ Lever-action Rifles ✓ ✓ ✓ Bolt-action Rifles ✓ ✓ Shotguns ✓ ✓ Suppressors ✓ ✓ The combined portfolio serves every major firearms product segment.</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COMBINED TOTAL FIREARMS HANDGUNS RIFLES SHOTGUNS UNIT SHARE/RANKING #1 #1 #2 #6 Revolver - #1 Semi-Auto - #2 MSRs - #1 Semi-Auto - #2 Bolt-Action - #2 Lever-Action - #3 COMBINED PRODUCT LINES ENHANCES MARKET LEADERSHIP 99%+ Non-overlapping Brand &amp; Product Lines SOURCE: GearFire, FY27 YTD (May – Sept) Indicates Increased Market Share From Transaction</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Manufacturing Scale &amp; Operational Advantage Five Facilities CANADA UNITED STATES SMITH &amp; WESSON Maryville, TN Headquarters Springfield, MA Manufacturing Houlton, ME Manufacturing 1 2 3 SAVAGE ARMS Westfield, MA Headquarters Lakefield, ON Manufacturing 1 2 1 2 1 2 Strategic Benefits Increased distribution efficiency Capacity balancing Increased sourcing leverage Improved supply chain resiliency 3</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TRANSACTION HIGHLIGHTS ACQUISITION OF SAVAGE ARMS Combines two iconic American firearms brands with complementary market positions. Expands Smith &amp; Wesson into the hunting and bolt-action rifle categories. Creates a broader platform spanning handguns, modern sporting rifles, hunting rifles, rimfire products, and shotguns. TRANSACTION OVERVIEW Purchase Price: $160M Structure: Approx. 9 Million Newly Issued Shares and $37.5 Million in Cash Immediately Accretive to EPS by $0.07*; $0.10* after synergies Balance Sheet Impact: Increases Leverage Ratio to Only 1.16 JDH Capital becomes a significant long-term stockholder with board representation SAVAGE PROFILE 132+ Years of firearms heritage TTM Revenue: $160M Leading positions in hunting, competition, and target-shooting rifles and shotguns *Annualized</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INSTANT VALUE CREATION STRATEGIC VALUE Expands presence in the large hunting and precision shooting market. Diversifies revenue across complementary firearm categories. Broadens product portfolio and customer reach. FINANCIAL VALUE Immediately accretive to earnings. Immediate EPS accretion of $0.07*/share before synergies. Expected EPS accretion of $0.10*/share after synergies. Initial synergies already identified of approx. $2.5M STOCKHOLDER VALUE Aligns JDH Capital with Smith &amp; Wesson stockholders through equity ownership. Strengthens long-term growth profile and market leadership ambitions. Creates opportunities for innovation, go-to-market efficiencies, and operating scale benefits. Creating a diversified firearms leader with expanded category reach, immediate earnings accretion, a stronger competitive position, and enhanced long-term stockholder value. *Annualized</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137</Pages>
  <Words>70742</Words>
  <Characters>382770</Characters>
  <CharactersWithSpaces>453999</CharactersWithSpaces>
  <Paragraphs>2701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