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-211455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121920</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2" w:lineRule="exact"/>
        <w:rPr>
          <w:sz w:val="24"/>
          <w:szCs w:val="24"/>
          <w:color w:val="auto"/>
        </w:rPr>
      </w:pPr>
    </w:p>
    <w:p>
      <w:pPr>
        <w:ind w:left="1620" w:hanging="464"/>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1" w:lineRule="exact"/>
        <w:rPr>
          <w:sz w:val="24"/>
          <w:szCs w:val="24"/>
          <w:color w:val="auto"/>
        </w:rPr>
      </w:pPr>
    </w:p>
    <w:p>
      <w:pPr>
        <w:ind w:left="4000" w:right="620" w:hanging="2844"/>
        <w:spacing w:after="0" w:line="266" w:lineRule="auto"/>
        <w:tabs>
          <w:tab w:leader="none" w:pos="162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quarterly period ended July 31, 2019</w:t>
      </w:r>
    </w:p>
    <w:p>
      <w:pPr>
        <w:ind w:left="4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No. 001-31552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114300</wp:posOffset>
            </wp:positionV>
            <wp:extent cx="3009900" cy="7029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9900"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American Outdoor Brands Corporation</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9" w:lineRule="exact"/>
        <w:rPr>
          <w:sz w:val="24"/>
          <w:szCs w:val="24"/>
          <w:color w:val="auto"/>
        </w:rPr>
      </w:pPr>
    </w:p>
    <w:tbl>
      <w:tblPr>
        <w:tblLayout w:type="fixed"/>
        <w:tblInd w:w="520" w:type="dxa"/>
        <w:tblCellMar>
          <w:top w:w="0" w:type="dxa"/>
          <w:left w:w="0" w:type="dxa"/>
          <w:bottom w:w="0" w:type="dxa"/>
          <w:right w:w="0" w:type="dxa"/>
        </w:tblCellMar>
      </w:tblPr>
      <w:tr>
        <w:trPr>
          <w:trHeight w:val="214"/>
        </w:trPr>
        <w:tc>
          <w:tcPr>
            <w:tcW w:w="3520" w:type="dxa"/>
            <w:vAlign w:val="bottom"/>
          </w:tcPr>
          <w:p>
            <w:pPr>
              <w:jc w:val="center"/>
              <w:ind w:left="978"/>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20" w:type="dxa"/>
            <w:vAlign w:val="bottom"/>
          </w:tcPr>
          <w:p>
            <w:pPr>
              <w:jc w:val="right"/>
              <w:ind w:right="1780"/>
              <w:spacing w:after="0"/>
              <w:rPr>
                <w:sz w:val="20"/>
                <w:szCs w:val="20"/>
                <w:color w:val="auto"/>
              </w:rPr>
            </w:pPr>
            <w:r>
              <w:rPr>
                <w:rFonts w:ascii="Times New Roman" w:cs="Times New Roman" w:eastAsia="Times New Roman" w:hAnsi="Times New Roman"/>
                <w:sz w:val="18"/>
                <w:szCs w:val="18"/>
                <w:b w:val="1"/>
                <w:bCs w:val="1"/>
                <w:color w:val="auto"/>
              </w:rPr>
              <w:t>87-0543688</w:t>
            </w:r>
          </w:p>
        </w:tc>
        <w:tc>
          <w:tcPr>
            <w:tcW w:w="0" w:type="dxa"/>
            <w:vAlign w:val="bottom"/>
          </w:tcPr>
          <w:p>
            <w:pPr>
              <w:spacing w:after="0"/>
              <w:rPr>
                <w:sz w:val="1"/>
                <w:szCs w:val="1"/>
                <w:color w:val="auto"/>
              </w:rPr>
            </w:pPr>
          </w:p>
        </w:tc>
      </w:tr>
      <w:tr>
        <w:trPr>
          <w:trHeight w:val="149"/>
        </w:trPr>
        <w:tc>
          <w:tcPr>
            <w:tcW w:w="3520" w:type="dxa"/>
            <w:vAlign w:val="bottom"/>
          </w:tcPr>
          <w:p>
            <w:pPr>
              <w:jc w:val="center"/>
              <w:ind w:left="97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20" w:type="dxa"/>
            <w:vAlign w:val="bottom"/>
          </w:tcPr>
          <w:p>
            <w:pPr>
              <w:jc w:val="center"/>
              <w:ind w:right="13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520" w:type="dxa"/>
            <w:vAlign w:val="bottom"/>
          </w:tcPr>
          <w:p>
            <w:pPr>
              <w:jc w:val="center"/>
              <w:ind w:left="97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20" w:type="dxa"/>
            <w:vAlign w:val="bottom"/>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8"/>
        </w:trPr>
        <w:tc>
          <w:tcPr>
            <w:tcW w:w="3520" w:type="dxa"/>
            <w:vAlign w:val="bottom"/>
          </w:tcPr>
          <w:p>
            <w:pPr>
              <w:jc w:val="center"/>
              <w:ind w:left="978"/>
              <w:spacing w:after="0"/>
              <w:rPr>
                <w:sz w:val="20"/>
                <w:szCs w:val="20"/>
                <w:color w:val="auto"/>
              </w:rPr>
            </w:pPr>
            <w:r>
              <w:rPr>
                <w:rFonts w:ascii="Times New Roman" w:cs="Times New Roman" w:eastAsia="Times New Roman" w:hAnsi="Times New Roman"/>
                <w:sz w:val="18"/>
                <w:szCs w:val="18"/>
                <w:b w:val="1"/>
                <w:bCs w:val="1"/>
                <w:color w:val="auto"/>
                <w:w w:val="98"/>
              </w:rPr>
              <w:t>2100 Roosevelt Avenue</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520" w:type="dxa"/>
            <w:vAlign w:val="bottom"/>
          </w:tcPr>
          <w:p>
            <w:pPr>
              <w:jc w:val="center"/>
              <w:ind w:left="978"/>
              <w:spacing w:after="0"/>
              <w:rPr>
                <w:sz w:val="20"/>
                <w:szCs w:val="20"/>
                <w:color w:val="auto"/>
              </w:rPr>
            </w:pPr>
            <w:r>
              <w:rPr>
                <w:rFonts w:ascii="Times New Roman" w:cs="Times New Roman" w:eastAsia="Times New Roman" w:hAnsi="Times New Roman"/>
                <w:sz w:val="18"/>
                <w:szCs w:val="18"/>
                <w:b w:val="1"/>
                <w:bCs w:val="1"/>
                <w:color w:val="auto"/>
                <w:w w:val="99"/>
              </w:rPr>
              <w:t>Springfield, Massachusetts</w:t>
            </w:r>
          </w:p>
        </w:tc>
        <w:tc>
          <w:tcPr>
            <w:tcW w:w="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20" w:type="dxa"/>
            <w:vAlign w:val="bottom"/>
          </w:tcPr>
          <w:p>
            <w:pPr>
              <w:jc w:val="right"/>
              <w:ind w:right="2000"/>
              <w:spacing w:after="0"/>
              <w:rPr>
                <w:sz w:val="20"/>
                <w:szCs w:val="20"/>
                <w:color w:val="auto"/>
              </w:rPr>
            </w:pPr>
            <w:r>
              <w:rPr>
                <w:rFonts w:ascii="Times New Roman" w:cs="Times New Roman" w:eastAsia="Times New Roman" w:hAnsi="Times New Roman"/>
                <w:sz w:val="18"/>
                <w:szCs w:val="18"/>
                <w:b w:val="1"/>
                <w:bCs w:val="1"/>
                <w:color w:val="auto"/>
              </w:rPr>
              <w:t>01104</w:t>
            </w:r>
          </w:p>
        </w:tc>
        <w:tc>
          <w:tcPr>
            <w:tcW w:w="0" w:type="dxa"/>
            <w:vAlign w:val="bottom"/>
          </w:tcPr>
          <w:p>
            <w:pPr>
              <w:spacing w:after="0"/>
              <w:rPr>
                <w:sz w:val="1"/>
                <w:szCs w:val="1"/>
                <w:color w:val="auto"/>
              </w:rPr>
            </w:pPr>
          </w:p>
        </w:tc>
      </w:tr>
      <w:tr>
        <w:trPr>
          <w:trHeight w:val="190"/>
        </w:trPr>
        <w:tc>
          <w:tcPr>
            <w:tcW w:w="3520" w:type="dxa"/>
            <w:vAlign w:val="bottom"/>
          </w:tcPr>
          <w:p>
            <w:pPr>
              <w:jc w:val="center"/>
              <w:ind w:left="9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20" w:type="dxa"/>
            <w:vAlign w:val="bottom"/>
            <w:gridSpan w:val="2"/>
            <w:vMerge w:val="restart"/>
          </w:tcPr>
          <w:p>
            <w:pPr>
              <w:jc w:val="center"/>
              <w:ind w:left="459"/>
              <w:spacing w:after="0"/>
              <w:rPr>
                <w:sz w:val="20"/>
                <w:szCs w:val="20"/>
                <w:color w:val="auto"/>
              </w:rPr>
            </w:pPr>
            <w:r>
              <w:rPr>
                <w:rFonts w:ascii="Times New Roman" w:cs="Times New Roman" w:eastAsia="Times New Roman" w:hAnsi="Times New Roman"/>
                <w:sz w:val="18"/>
                <w:szCs w:val="18"/>
                <w:b w:val="1"/>
                <w:bCs w:val="1"/>
                <w:color w:val="auto"/>
                <w:w w:val="99"/>
              </w:rPr>
              <w:t>(800) 331-0852</w:t>
            </w:r>
          </w:p>
        </w:tc>
        <w:tc>
          <w:tcPr>
            <w:tcW w:w="840" w:type="dxa"/>
            <w:vAlign w:val="bottom"/>
          </w:tcPr>
          <w:p>
            <w:pPr>
              <w:spacing w:after="0"/>
              <w:rPr>
                <w:sz w:val="16"/>
                <w:szCs w:val="16"/>
                <w:color w:val="auto"/>
              </w:rPr>
            </w:pPr>
          </w:p>
        </w:tc>
        <w:tc>
          <w:tcPr>
            <w:tcW w:w="3220" w:type="dxa"/>
            <w:vAlign w:val="bottom"/>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74"/>
        </w:trPr>
        <w:tc>
          <w:tcPr>
            <w:tcW w:w="3520" w:type="dxa"/>
            <w:vAlign w:val="bottom"/>
          </w:tcPr>
          <w:p>
            <w:pPr>
              <w:spacing w:after="0"/>
              <w:rPr>
                <w:sz w:val="15"/>
                <w:szCs w:val="15"/>
                <w:color w:val="auto"/>
              </w:rPr>
            </w:pPr>
          </w:p>
        </w:tc>
        <w:tc>
          <w:tcPr>
            <w:tcW w:w="2820" w:type="dxa"/>
            <w:vAlign w:val="bottom"/>
            <w:gridSpan w:val="2"/>
            <w:vMerge w:val="continue"/>
          </w:tcPr>
          <w:p>
            <w:pPr>
              <w:spacing w:after="0"/>
              <w:rPr>
                <w:sz w:val="15"/>
                <w:szCs w:val="15"/>
                <w:color w:val="auto"/>
              </w:rPr>
            </w:pPr>
          </w:p>
        </w:tc>
        <w:tc>
          <w:tcPr>
            <w:tcW w:w="8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36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060" w:type="dxa"/>
            <w:vAlign w:val="bottom"/>
            <w:gridSpan w:val="2"/>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634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8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20" w:type="dxa"/>
            <w:vAlign w:val="bottom"/>
          </w:tcPr>
          <w:p>
            <w:pPr>
              <w:jc w:val="center"/>
              <w:ind w:right="658"/>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40" w:type="dxa"/>
            <w:vAlign w:val="bottom"/>
          </w:tcPr>
          <w:p>
            <w:pPr>
              <w:spacing w:after="0"/>
              <w:rPr>
                <w:sz w:val="18"/>
                <w:szCs w:val="18"/>
                <w:color w:val="auto"/>
              </w:rPr>
            </w:pPr>
          </w:p>
        </w:tc>
        <w:tc>
          <w:tcPr>
            <w:tcW w:w="31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220" w:type="dxa"/>
            <w:vAlign w:val="bottom"/>
          </w:tcPr>
          <w:p>
            <w:pPr>
              <w:jc w:val="center"/>
              <w:ind w:left="340"/>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c>
          <w:tcPr>
            <w:tcW w:w="0" w:type="dxa"/>
            <w:vAlign w:val="bottom"/>
          </w:tcPr>
          <w:p>
            <w:pPr>
              <w:spacing w:after="0"/>
              <w:rPr>
                <w:sz w:val="1"/>
                <w:szCs w:val="1"/>
                <w:color w:val="auto"/>
              </w:rPr>
            </w:pPr>
          </w:p>
        </w:tc>
      </w:tr>
      <w:tr>
        <w:trPr>
          <w:trHeight w:val="188"/>
        </w:trPr>
        <w:tc>
          <w:tcPr>
            <w:tcW w:w="3520" w:type="dxa"/>
            <w:vAlign w:val="bottom"/>
          </w:tcPr>
          <w:p>
            <w:pPr>
              <w:jc w:val="center"/>
              <w:ind w:right="65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540" w:type="dxa"/>
            <w:vAlign w:val="bottom"/>
          </w:tcPr>
          <w:p>
            <w:pPr>
              <w:spacing w:after="0"/>
              <w:rPr>
                <w:sz w:val="16"/>
                <w:szCs w:val="16"/>
                <w:color w:val="auto"/>
              </w:rPr>
            </w:pPr>
          </w:p>
        </w:tc>
        <w:tc>
          <w:tcPr>
            <w:tcW w:w="312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color w:val="auto"/>
              </w:rPr>
              <w:t>AOBC</w:t>
            </w:r>
          </w:p>
        </w:tc>
        <w:tc>
          <w:tcPr>
            <w:tcW w:w="3220" w:type="dxa"/>
            <w:vAlign w:val="bottom"/>
          </w:tcPr>
          <w:p>
            <w:pPr>
              <w:jc w:val="center"/>
              <w:ind w:left="360"/>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bl>
    <w:p>
      <w:pPr>
        <w:spacing w:after="0" w:line="181" w:lineRule="exact"/>
        <w:rPr>
          <w:sz w:val="24"/>
          <w:szCs w:val="24"/>
          <w:color w:val="auto"/>
        </w:rPr>
      </w:pPr>
    </w:p>
    <w:p>
      <w:pPr>
        <w:jc w:val="both"/>
        <w:ind w:right="22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207" w:lineRule="exact"/>
        <w:tabs>
          <w:tab w:leader="none" w:pos="580" w:val="left"/>
          <w:tab w:leader="none" w:pos="128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6" w:lineRule="exact"/>
        <w:rPr>
          <w:sz w:val="24"/>
          <w:szCs w:val="24"/>
          <w:color w:val="auto"/>
        </w:rPr>
      </w:pPr>
    </w:p>
    <w:p>
      <w:pPr>
        <w:ind w:right="160" w:firstLine="518"/>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ind w:right="420" w:firstLine="518"/>
        <w:spacing w:after="0" w:line="21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360"/>
        <w:spacing w:after="0" w:line="27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registrant had 54,821,771 shares of common stock, par value $0.001, outstanding as of August 27,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141605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84"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40" w:type="dxa"/>
            <w:vAlign w:val="bottom"/>
            <w:gridSpan w:val="4"/>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AMERICAN OUTDOOR BRANDS CORPORATION</w:t>
            </w:r>
          </w:p>
        </w:tc>
        <w:tc>
          <w:tcPr>
            <w:tcW w:w="1900" w:type="dxa"/>
            <w:vAlign w:val="bottom"/>
          </w:tcPr>
          <w:p>
            <w:pPr>
              <w:spacing w:after="0"/>
              <w:rPr>
                <w:sz w:val="20"/>
                <w:szCs w:val="20"/>
                <w:color w:val="auto"/>
              </w:rPr>
            </w:pPr>
          </w:p>
        </w:tc>
      </w:tr>
      <w:tr>
        <w:trPr>
          <w:trHeight w:val="410"/>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40" w:type="dxa"/>
            <w:vAlign w:val="bottom"/>
            <w:gridSpan w:val="4"/>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tc>
        <w:tc>
          <w:tcPr>
            <w:tcW w:w="1900" w:type="dxa"/>
            <w:vAlign w:val="bottom"/>
          </w:tcPr>
          <w:p>
            <w:pPr>
              <w:spacing w:after="0"/>
              <w:rPr>
                <w:sz w:val="24"/>
                <w:szCs w:val="24"/>
                <w:color w:val="auto"/>
              </w:rPr>
            </w:pPr>
          </w:p>
        </w:tc>
      </w:tr>
      <w:tr>
        <w:trPr>
          <w:trHeight w:val="238"/>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40" w:type="dxa"/>
            <w:vAlign w:val="bottom"/>
            <w:gridSpan w:val="4"/>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July 31, 2019 and 2018</w:t>
            </w:r>
          </w:p>
        </w:tc>
        <w:tc>
          <w:tcPr>
            <w:tcW w:w="1900" w:type="dxa"/>
            <w:vAlign w:val="bottom"/>
          </w:tcPr>
          <w:p>
            <w:pPr>
              <w:spacing w:after="0"/>
              <w:rPr>
                <w:sz w:val="20"/>
                <w:szCs w:val="20"/>
                <w:color w:val="auto"/>
              </w:rPr>
            </w:pPr>
          </w:p>
        </w:tc>
      </w:tr>
      <w:tr>
        <w:trPr>
          <w:trHeight w:val="459"/>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40" w:type="dxa"/>
            <w:vAlign w:val="bottom"/>
            <w:gridSpan w:val="4"/>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00" w:type="dxa"/>
            <w:vAlign w:val="bottom"/>
          </w:tcPr>
          <w:p>
            <w:pPr>
              <w:spacing w:after="0"/>
              <w:rPr>
                <w:sz w:val="24"/>
                <w:szCs w:val="24"/>
                <w:color w:val="auto"/>
              </w:rPr>
            </w:pPr>
          </w:p>
        </w:tc>
      </w:tr>
      <w:tr>
        <w:trPr>
          <w:trHeight w:val="419"/>
        </w:trPr>
        <w:tc>
          <w:tcPr>
            <w:tcW w:w="314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8"/>
              </w:rPr>
            </w:pPr>
            <w:hyperlink w:anchor="page4">
              <w:r>
                <w:rPr>
                  <w:rFonts w:ascii="Times New Roman" w:cs="Times New Roman" w:eastAsia="Times New Roman" w:hAnsi="Times New Roman"/>
                  <w:sz w:val="18"/>
                  <w:szCs w:val="18"/>
                  <w:b w:val="1"/>
                  <w:bCs w:val="1"/>
                  <w:color w:val="0000EE"/>
                  <w:w w:val="98"/>
                </w:rPr>
                <w:t>PART I - FINANCIAL INFORMATION</w:t>
              </w:r>
            </w:hyperlink>
          </w:p>
        </w:tc>
        <w:tc>
          <w:tcPr>
            <w:tcW w:w="6380" w:type="dxa"/>
            <w:vAlign w:val="bottom"/>
            <w:gridSpan w:val="5"/>
          </w:tcPr>
          <w:p>
            <w:pPr>
              <w:spacing w:after="0"/>
              <w:rPr>
                <w:sz w:val="24"/>
                <w:szCs w:val="24"/>
                <w:color w:val="auto"/>
              </w:rPr>
            </w:pPr>
          </w:p>
        </w:tc>
        <w:tc>
          <w:tcPr>
            <w:tcW w:w="1900" w:type="dxa"/>
            <w:vAlign w:val="bottom"/>
          </w:tcPr>
          <w:p>
            <w:pPr>
              <w:spacing w:after="0"/>
              <w:rPr>
                <w:sz w:val="24"/>
                <w:szCs w:val="24"/>
                <w:color w:val="auto"/>
              </w:rPr>
            </w:pPr>
          </w:p>
        </w:tc>
      </w:tr>
      <w:tr>
        <w:trPr>
          <w:trHeight w:val="196"/>
        </w:trPr>
        <w:tc>
          <w:tcPr>
            <w:tcW w:w="300" w:type="dxa"/>
            <w:vAlign w:val="bottom"/>
          </w:tcPr>
          <w:p>
            <w:pPr>
              <w:spacing w:after="0"/>
              <w:rPr>
                <w:sz w:val="17"/>
                <w:szCs w:val="17"/>
                <w:color w:val="auto"/>
              </w:rPr>
            </w:pPr>
          </w:p>
        </w:tc>
        <w:tc>
          <w:tcPr>
            <w:tcW w:w="29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Item 1. Financial Statements (Unaudited)</w:t>
              </w:r>
            </w:hyperlink>
          </w:p>
        </w:tc>
        <w:tc>
          <w:tcPr>
            <w:tcW w:w="6240" w:type="dxa"/>
            <w:vAlign w:val="bottom"/>
            <w:gridSpan w:val="4"/>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300" w:type="dxa"/>
            <w:vAlign w:val="bottom"/>
          </w:tcPr>
          <w:p>
            <w:pPr>
              <w:spacing w:after="0"/>
              <w:rPr>
                <w:sz w:val="17"/>
                <w:szCs w:val="17"/>
                <w:color w:val="auto"/>
              </w:rPr>
            </w:pPr>
          </w:p>
        </w:tc>
        <w:tc>
          <w:tcPr>
            <w:tcW w:w="70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Item 2. Management’s Discussion and Analysis of Financial Condition and Results of Operations</w:t>
              </w:r>
            </w:hyperlink>
          </w:p>
        </w:tc>
        <w:tc>
          <w:tcPr>
            <w:tcW w:w="2200" w:type="dxa"/>
            <w:vAlign w:val="bottom"/>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300" w:type="dxa"/>
            <w:vAlign w:val="bottom"/>
          </w:tcPr>
          <w:p>
            <w:pPr>
              <w:spacing w:after="0"/>
              <w:rPr>
                <w:sz w:val="17"/>
                <w:szCs w:val="17"/>
                <w:color w:val="auto"/>
              </w:rPr>
            </w:pPr>
          </w:p>
        </w:tc>
        <w:tc>
          <w:tcPr>
            <w:tcW w:w="49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Item 3. Quantitative and Qualitative Disclosures About Market Risk</w:t>
              </w:r>
            </w:hyperlink>
          </w:p>
        </w:tc>
        <w:tc>
          <w:tcPr>
            <w:tcW w:w="4300" w:type="dxa"/>
            <w:vAlign w:val="bottom"/>
            <w:gridSpan w:val="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300" w:type="dxa"/>
            <w:vAlign w:val="bottom"/>
          </w:tcPr>
          <w:p>
            <w:pPr>
              <w:spacing w:after="0"/>
              <w:rPr>
                <w:sz w:val="17"/>
                <w:szCs w:val="17"/>
                <w:color w:val="auto"/>
              </w:rPr>
            </w:pPr>
          </w:p>
        </w:tc>
        <w:tc>
          <w:tcPr>
            <w:tcW w:w="9220" w:type="dxa"/>
            <w:vAlign w:val="bottom"/>
            <w:gridSpan w:val="11"/>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4. Controls and Procedures</w:t>
              </w:r>
            </w:hyperlink>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3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18"/>
        </w:trPr>
        <w:tc>
          <w:tcPr>
            <w:tcW w:w="2840" w:type="dxa"/>
            <w:vAlign w:val="bottom"/>
            <w:tcBorders>
              <w:bottom w:val="single" w:sz="8" w:color="0000EE"/>
            </w:tcBorders>
            <w:gridSpan w:val="6"/>
          </w:tcPr>
          <w:p>
            <w:pPr>
              <w:spacing w:after="0"/>
              <w:rPr>
                <w:rFonts w:ascii="Times New Roman" w:cs="Times New Roman" w:eastAsia="Times New Roman" w:hAnsi="Times New Roman"/>
                <w:sz w:val="18"/>
                <w:szCs w:val="18"/>
                <w:b w:val="1"/>
                <w:bCs w:val="1"/>
                <w:color w:val="0000EE"/>
                <w:w w:val="98"/>
              </w:rPr>
            </w:pPr>
            <w:hyperlink w:anchor="page28">
              <w:r>
                <w:rPr>
                  <w:rFonts w:ascii="Times New Roman" w:cs="Times New Roman" w:eastAsia="Times New Roman" w:hAnsi="Times New Roman"/>
                  <w:sz w:val="18"/>
                  <w:szCs w:val="18"/>
                  <w:b w:val="1"/>
                  <w:bCs w:val="1"/>
                  <w:color w:val="0000EE"/>
                  <w:w w:val="98"/>
                </w:rPr>
                <w:t>PART II - OTHER INFORMATION</w:t>
              </w:r>
            </w:hyperlink>
          </w:p>
        </w:tc>
        <w:tc>
          <w:tcPr>
            <w:tcW w:w="6680" w:type="dxa"/>
            <w:vAlign w:val="bottom"/>
            <w:gridSpan w:val="6"/>
          </w:tcPr>
          <w:p>
            <w:pPr>
              <w:spacing w:after="0"/>
              <w:rPr>
                <w:sz w:val="24"/>
                <w:szCs w:val="24"/>
                <w:color w:val="auto"/>
              </w:rPr>
            </w:pPr>
          </w:p>
        </w:tc>
        <w:tc>
          <w:tcPr>
            <w:tcW w:w="1900" w:type="dxa"/>
            <w:vAlign w:val="bottom"/>
          </w:tcPr>
          <w:p>
            <w:pPr>
              <w:spacing w:after="0"/>
              <w:rPr>
                <w:sz w:val="24"/>
                <w:szCs w:val="24"/>
                <w:color w:val="auto"/>
              </w:rPr>
            </w:pPr>
          </w:p>
        </w:tc>
      </w:tr>
      <w:tr>
        <w:trPr>
          <w:trHeight w:val="196"/>
        </w:trPr>
        <w:tc>
          <w:tcPr>
            <w:tcW w:w="300" w:type="dxa"/>
            <w:vAlign w:val="bottom"/>
          </w:tcPr>
          <w:p>
            <w:pPr>
              <w:spacing w:after="0"/>
              <w:rPr>
                <w:sz w:val="17"/>
                <w:szCs w:val="17"/>
                <w:color w:val="auto"/>
              </w:rPr>
            </w:pPr>
          </w:p>
        </w:tc>
        <w:tc>
          <w:tcPr>
            <w:tcW w:w="1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Item 1. Legal Proceedings</w:t>
              </w:r>
            </w:hyperlink>
          </w:p>
        </w:tc>
        <w:tc>
          <w:tcPr>
            <w:tcW w:w="7320" w:type="dxa"/>
            <w:vAlign w:val="bottom"/>
            <w:gridSpan w:val="8"/>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300" w:type="dxa"/>
            <w:vAlign w:val="bottom"/>
          </w:tcPr>
          <w:p>
            <w:pPr>
              <w:spacing w:after="0"/>
              <w:rPr>
                <w:sz w:val="17"/>
                <w:szCs w:val="17"/>
                <w:color w:val="auto"/>
              </w:rPr>
            </w:pPr>
          </w:p>
        </w:tc>
        <w:tc>
          <w:tcPr>
            <w:tcW w:w="9220" w:type="dxa"/>
            <w:vAlign w:val="bottom"/>
            <w:gridSpan w:val="11"/>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2. Unregistered Sales of Equity Securities and Use of Proceeds</w:t>
              </w:r>
            </w:hyperlink>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30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28">
              <w:r>
                <w:rPr>
                  <w:rFonts w:ascii="Times New Roman" w:cs="Times New Roman" w:eastAsia="Times New Roman" w:hAnsi="Times New Roman"/>
                  <w:sz w:val="18"/>
                  <w:szCs w:val="18"/>
                  <w:color w:val="0000EE"/>
                  <w:w w:val="98"/>
                </w:rPr>
                <w:t>Item 6. Exhibits</w:t>
              </w:r>
            </w:hyperlink>
          </w:p>
        </w:tc>
        <w:tc>
          <w:tcPr>
            <w:tcW w:w="3740" w:type="dxa"/>
            <w:vAlign w:val="bottom"/>
            <w:tcBorders>
              <w:top w:val="single" w:sz="8" w:color="0000EE"/>
            </w:tcBorders>
            <w:gridSpan w:val="6"/>
          </w:tcPr>
          <w:p>
            <w:pPr>
              <w:spacing w:after="0"/>
              <w:rPr>
                <w:sz w:val="17"/>
                <w:szCs w:val="17"/>
                <w:color w:val="auto"/>
              </w:rPr>
            </w:pPr>
          </w:p>
        </w:tc>
        <w:tc>
          <w:tcPr>
            <w:tcW w:w="4320" w:type="dxa"/>
            <w:vAlign w:val="bottom"/>
            <w:gridSpan w:val="3"/>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9520" w:type="dxa"/>
            <w:vAlign w:val="bottom"/>
            <w:gridSpan w:val="12"/>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Signatures</w:t>
              </w:r>
            </w:hyperlink>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37"/>
        </w:trPr>
        <w:tc>
          <w:tcPr>
            <w:tcW w:w="7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EX-31.1</w:t>
            </w:r>
          </w:p>
        </w:tc>
        <w:tc>
          <w:tcPr>
            <w:tcW w:w="8760" w:type="dxa"/>
            <w:vAlign w:val="bottom"/>
            <w:gridSpan w:val="10"/>
          </w:tcPr>
          <w:p>
            <w:pPr>
              <w:spacing w:after="0"/>
              <w:rPr>
                <w:sz w:val="20"/>
                <w:szCs w:val="20"/>
                <w:color w:val="auto"/>
              </w:rPr>
            </w:pPr>
          </w:p>
        </w:tc>
        <w:tc>
          <w:tcPr>
            <w:tcW w:w="190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EX-31.2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EX-32.1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EX-32.2</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Smith &amp; Wesson®, S&amp;W®, M&amp;P®, M&amp;P Shield®, Performance Center®, Bodyguard®, Governor®, SW22 Victory®, T/C ®, America’s Master Gunmaker ®, Compass®, Contender®, Dimension®, Encore®, Triumph®, Weather Shield®, Caldwell®, Delta Series®, Wheeler®, Tipton®, Frankford Arsenal®, Lockdown®, BOG-POD®, Golden Rod®, Mag Charger®, Hooyman®, Schrade®, Old Timer®, Uncle Henry®, Imperial®, Non-Typical Wildlife Solutions®, Crimson Trace®, Lasergrips®, Laserguard®, Rail Master®, Shockstop®, Laserlyte®, Key Gear®, U-Dig-It®, Bubba®, Bubba Blade®, One Cut and You’re Through®, Gemtech®, G-Core®, Halo®, Integra®, World Class Silencers®, LiNQ®, Stinky Bubba®, and Turkinator™ are some of the registered U.S. trademarks of our company or one of our subsidiaries. American Outdoor Brands CorporationSM, M2.0™, SDVE™, Thompson/Center Arms™, Impact!™, Strike™, Venture™, Defender Series™, Instinctive Activation™, Master Series™, UST™, Blast Jacket™, One™, The Professional’s Choice for Decades™, and World Class Ammunition™ are some of the unregistered trademarks of our company or one of our subsidiaries. This report also may contain trademarks and trade names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25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All statements other than statements of historical facts contained or incorporated herein by reference in this Quarterly Report on Form 10-Q,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“targets,” “contemplates,” “projects,” “predicts,” “may,” “might,” “plan,” “will,” “would,” “should,” “could,” “may,” “can,” “potential,” “continue,” “objective,” or the negative of those terms, or similar expressions intended to identify forward-looking statements. However, not all forward-looking statements contain these identifying words. Specific forward-looking statements in this Quarterly Report on Form 10-Q include statements regarding the impact, if any, of recently issued accounting standards on our consolidated financial statements; the expected performance of acquired businesses; our assessment of factors relating to the valuation of assets acquired and liabilities assumed in acquisitions, the timing for such evaluations, and the potential adjustment in such evaluations; assessments that we make about determining segments and reporting units; the features of our outstanding debt and our expectation that our interest rate swap will not have any material effect on our earnings or our consolidated financial statements within the next 12 months; estimated amortization expense of intangible assets for future periods; the potential for impairment charges; the outcome of the lawsuits to which we are subject and their effect on us; our belief that inventory levels, both internally and in the distribution channel, in excess of demand, may negatively impact future operating results; our belief that it is difficult to forecast the potential impact of distributor inventories on future revenue and income as demand is impacted by many factors, including seasonality, new product introductions, news events, political events, and consumer tastes; the impact of the Tax Cuts and Jobs Act, or Tax Reform, on our operating results, including our belief that Tax Reform will be a benefit to us and reduce our effective tax rate; the effects of acquisitions on our overall financial performance; our assessment of our acquisitions, including the quality and strength of their products; our assessment of consumer demand and factors that stimulate demand for our products; the effect on our business of various factors, including terrorism and the level of political pressures on firearm laws and regulations; future investments for capital expenditures; future products and product developments; the features, quality, and performance of our products; the success of particular product or marketing programs; our market share and factors that affect our market share; and liquidity and anticipated cash needs and availability. All forward-looking statements included herein are based on information available to us as of the date hereof and speak only as of such date. Except as required by law, we undertake no obligation to update any forward-looking statements to reflect events or circumstances after the date of such statements. The forward-looking statements contained in or incorporated by reference into this Quarterly Report on Form 10-Q reflect our views as of the date of this Quarterly Report on Form 10-Q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 A number of factors could cause actual results to differ materially from those indicated by the forward-looking statements. Such factors include, among other, economic, social, political, legislative, and regulatory factors; the potential for increased regulation of firearms and firearms-related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supply, availability, and costs of raw materials and components; speculation surrounding fears of terrorism and crime; our anticipated growth and growth opportunities; our ability to increase demand for our products in various markets, including consumer, law enforcement, and military channels, domestically and internationally; our penetration rates in new and existing markets; our strategies; our ability to maintain and enhance brand recognition and reputation; risks associated with the establishment of our new 632,000 square foot national logistics facility including the expected benefits; our ability to introduce new products; the success of new products; our ability to expand our markets; our ability to integrate acquired businesses in a successful manner; the general growth of our outdoor products and accessories business; the potential for cancellation of orders from our backlog; and other factors detailed from time to time in our reports filed with the Securities and Exchange Commission, or the SEC, including our Annual Report on Form 10-K for the fiscal year ended April 30, 2019, filed with the SEC on June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ind w:left="260" w:right="274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 BRANDS CORPORATION AND SUBSIDIARIES CONDENSED CONSOLIDATED BALANCE SHEETS (Unaudited)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right"/>
              <w:ind w:right="680"/>
              <w:spacing w:after="0" w:line="155" w:lineRule="exact"/>
              <w:rPr>
                <w:sz w:val="20"/>
                <w:szCs w:val="20"/>
                <w:color w:val="auto"/>
              </w:rPr>
            </w:pPr>
            <w:r>
              <w:rPr>
                <w:rFonts w:ascii="Times New Roman" w:cs="Times New Roman" w:eastAsia="Times New Roman" w:hAnsi="Times New Roman"/>
                <w:sz w:val="14"/>
                <w:szCs w:val="14"/>
                <w:b w:val="1"/>
                <w:bCs w:val="1"/>
                <w:color w:val="auto"/>
              </w:rPr>
              <w:t>July 31, 2019</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71"/>
              <w:spacing w:after="0" w:line="155" w:lineRule="exact"/>
              <w:rPr>
                <w:sz w:val="20"/>
                <w:szCs w:val="20"/>
                <w:color w:val="auto"/>
              </w:rPr>
            </w:pPr>
            <w:r>
              <w:rPr>
                <w:rFonts w:ascii="Times New Roman" w:cs="Times New Roman" w:eastAsia="Times New Roman" w:hAnsi="Times New Roman"/>
                <w:sz w:val="14"/>
                <w:szCs w:val="14"/>
                <w:b w:val="1"/>
                <w:bCs w:val="1"/>
                <w:color w:val="auto"/>
              </w:rPr>
              <w:t>April 30,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color w:val="auto"/>
              </w:rPr>
              <w:t>(In thousands, except par value and share data)</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3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30,732</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$2,294 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July 31, 2019 and $1,899 on April 30, 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70,242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receivable</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307,912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182,267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772,455</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766,789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ind w:left="37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29,549</w:t>
            </w:r>
          </w:p>
        </w:tc>
        <w:tc>
          <w:tcPr>
            <w:tcW w:w="280" w:type="dxa"/>
            <w:vAlign w:val="bottom"/>
          </w:tcPr>
          <w:p>
            <w:pPr>
              <w:spacing w:after="0"/>
              <w:rPr>
                <w:sz w:val="19"/>
                <w:szCs w:val="19"/>
                <w:color w:val="auto"/>
              </w:rPr>
            </w:pP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payroll and incentives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income taxes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profit sharing</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warranty</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Current portion of notes and loans payable</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79,800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and loans payable, net of current portion</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99,467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payable, net of current portion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329,397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322,345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 $.001 par value, 20,000,000 shares authorized, no shares</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issued or outstanding</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$.001 par value, 100,000,000 shares authorized,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72,987,388 issued and 54,820,526 shares outstanding 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July 31, 2019 and 72,863,624 shares issued and 54,696,762 shares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on April 30, 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264,230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263,180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400,838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Treasury stock, at cost (18,166,862 shares on July 31, 2019 and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April 30, 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(222,375)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(222,375)</w:t>
            </w: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443,058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444,444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772,455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ind w:left="260" w:right="1140"/>
        <w:spacing w:after="0" w:line="278" w:lineRule="auto"/>
        <w:rPr>
          <w:sz w:val="20"/>
          <w:szCs w:val="20"/>
          <w:color w:val="auto"/>
        </w:rPr>
      </w:pPr>
      <w:r>
        <w:rPr>
          <w:rFonts w:ascii="Times New Roman" w:cs="Times New Roman" w:eastAsia="Times New Roman" w:hAnsi="Times New Roman"/>
          <w:sz w:val="18"/>
          <w:szCs w:val="18"/>
          <w:b w:val="1"/>
          <w:bCs w:val="1"/>
          <w:color w:val="auto"/>
        </w:rPr>
        <w:t>AMERICAN OUTDOOR BRANDS CORPORATION AND SUBSIDIARIES CONDENSED CONSOLIDATED STATEMENTS OF (LOSS)/INCOME AND COMPREHENSIVE (LOSS)/INCOME (Unaudited)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3480" w:type="dxa"/>
            <w:vAlign w:val="bottom"/>
            <w:tcBorders>
              <w:bottom w:val="single" w:sz="8" w:color="auto"/>
            </w:tcBorders>
            <w:gridSpan w:val="5"/>
          </w:tcPr>
          <w:p>
            <w:pPr>
              <w:jc w:val="center"/>
              <w:ind w:left="916"/>
              <w:spacing w:after="0"/>
              <w:rPr>
                <w:sz w:val="20"/>
                <w:szCs w:val="20"/>
                <w:color w:val="auto"/>
              </w:rPr>
            </w:pPr>
            <w:r>
              <w:rPr>
                <w:rFonts w:ascii="Times New Roman" w:cs="Times New Roman" w:eastAsia="Times New Roman" w:hAnsi="Times New Roman"/>
                <w:sz w:val="14"/>
                <w:szCs w:val="14"/>
                <w:b w:val="1"/>
                <w:bCs w:val="1"/>
                <w:color w:val="auto"/>
              </w:rPr>
              <w:t>For the Three Months Ended July 31,</w:t>
            </w: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2018</w:t>
            </w: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340" w:type="dxa"/>
            <w:vAlign w:val="bottom"/>
            <w:gridSpan w:val="4"/>
          </w:tcPr>
          <w:p>
            <w:pPr>
              <w:jc w:val="center"/>
              <w:ind w:right="5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14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123,665</w:t>
            </w: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center"/>
              <w:ind w:right="10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138,833</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75,811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86,411</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47,854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52,422</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24,521</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46,711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38,946</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(expense)/income, net:</w:t>
            </w: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income/(expense), net</w:t>
            </w:r>
          </w:p>
        </w:tc>
        <w:tc>
          <w:tcPr>
            <w:tcW w:w="1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1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(2,627)</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(expense)/income, net</w:t>
            </w:r>
          </w:p>
        </w:tc>
        <w:tc>
          <w:tcPr>
            <w:tcW w:w="114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(Loss)/income from operations before income taxes</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(loss)/income:</w:t>
            </w:r>
          </w:p>
        </w:tc>
        <w:tc>
          <w:tcPr>
            <w:tcW w:w="1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unrealized loss on interest rate</w:t>
            </w: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swap</w:t>
            </w:r>
          </w:p>
        </w:tc>
        <w:tc>
          <w:tcPr>
            <w:tcW w:w="1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before income taxes</w:t>
            </w:r>
          </w:p>
        </w:tc>
        <w:tc>
          <w:tcPr>
            <w:tcW w:w="1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 benefit on other comprehensive</w:t>
            </w: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4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loss</w:t>
            </w:r>
          </w:p>
        </w:tc>
        <w:tc>
          <w:tcPr>
            <w:tcW w:w="1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Comprehensive (loss)/income:</w:t>
            </w:r>
          </w:p>
        </w:tc>
        <w:tc>
          <w:tcPr>
            <w:tcW w:w="114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300" w:type="dxa"/>
            <w:vAlign w:val="bottom"/>
            <w:tcBorders>
              <w:bottom w:val="single" w:sz="8" w:color="auto"/>
            </w:tcBorders>
          </w:tcPr>
          <w:p>
            <w:pPr>
              <w:jc w:val="center"/>
              <w:ind w:right="1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3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(loss)/income per share:</w:t>
            </w:r>
          </w:p>
        </w:tc>
        <w:tc>
          <w:tcPr>
            <w:tcW w:w="1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1400" w:type="dxa"/>
            <w:vAlign w:val="bottom"/>
            <w:gridSpan w:val="2"/>
          </w:tcPr>
          <w:p>
            <w:pPr>
              <w:jc w:val="center"/>
              <w:ind w:right="10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9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Borders>
              <w:top w:val="single" w:sz="8" w:color="auto"/>
              <w:bottom w:val="single" w:sz="8" w:color="auto"/>
            </w:tcBorders>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center"/>
              <w:ind w:right="1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54,783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54,345</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AMERICAN OUTDOOR BRANDS CORPORATION AND SUBSIDIARIES CONDENSED CONSOLIDATED STATEMENT OF CHANGES IN STOCKHOLDERS’ EQUITY (Unaudited)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80" w:type="dxa"/>
            <w:vAlign w:val="bottom"/>
            <w:gridSpan w:val="4"/>
          </w:tcPr>
          <w:p>
            <w:pPr>
              <w:jc w:val="right"/>
              <w:ind w:right="469"/>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2"/>
                <w:szCs w:val="12"/>
                <w:color w:val="auto"/>
              </w:rPr>
            </w:pP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Stock</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2"/>
              </w:rPr>
              <w:t>Retained</w:t>
            </w: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20" w:type="dxa"/>
            <w:vAlign w:val="bottom"/>
            <w:gridSpan w:val="5"/>
          </w:tcPr>
          <w:p>
            <w:pPr>
              <w:jc w:val="right"/>
              <w:ind w:right="579"/>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398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auto"/>
              </w:rPr>
              <w:t>(In thousands)</w:t>
            </w:r>
          </w:p>
        </w:tc>
        <w:tc>
          <w:tcPr>
            <w:tcW w:w="680" w:type="dxa"/>
            <w:vAlign w:val="bottom"/>
            <w:tcBorders>
              <w:top w:val="single" w:sz="8" w:color="auto"/>
            </w:tcBorders>
          </w:tcPr>
          <w:p>
            <w:pPr>
              <w:jc w:val="right"/>
              <w:ind w:right="90"/>
              <w:spacing w:after="0" w:line="143"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49"/>
              <w:spacing w:after="0" w:line="143"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80"/>
              <w:spacing w:after="0" w:line="143" w:lineRule="exact"/>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2"/>
                <w:szCs w:val="12"/>
                <w:color w:val="auto"/>
              </w:rPr>
            </w:pPr>
          </w:p>
        </w:tc>
        <w:tc>
          <w:tcPr>
            <w:tcW w:w="820" w:type="dxa"/>
            <w:vAlign w:val="bottom"/>
            <w:gridSpan w:val="2"/>
          </w:tcPr>
          <w:p>
            <w:pPr>
              <w:jc w:val="right"/>
              <w:ind w:right="340"/>
              <w:spacing w:after="0" w:line="143" w:lineRule="exact"/>
              <w:rPr>
                <w:sz w:val="20"/>
                <w:szCs w:val="20"/>
                <w:color w:val="auto"/>
              </w:rPr>
            </w:pPr>
            <w:r>
              <w:rPr>
                <w:rFonts w:ascii="Times New Roman" w:cs="Times New Roman" w:eastAsia="Times New Roman" w:hAnsi="Times New Roman"/>
                <w:sz w:val="13"/>
                <w:szCs w:val="13"/>
                <w:b w:val="1"/>
                <w:bCs w:val="1"/>
                <w:color w:val="auto"/>
                <w:w w:val="90"/>
              </w:rPr>
              <w:t>Earnings</w:t>
            </w:r>
          </w:p>
        </w:tc>
        <w:tc>
          <w:tcPr>
            <w:tcW w:w="1100" w:type="dxa"/>
            <w:vAlign w:val="bottom"/>
            <w:gridSpan w:val="3"/>
          </w:tcPr>
          <w:p>
            <w:pPr>
              <w:jc w:val="center"/>
              <w:ind w:right="260"/>
              <w:spacing w:after="0" w:line="143" w:lineRule="exact"/>
              <w:rPr>
                <w:sz w:val="20"/>
                <w:szCs w:val="20"/>
                <w:color w:val="auto"/>
              </w:rPr>
            </w:pPr>
            <w:r>
              <w:rPr>
                <w:rFonts w:ascii="Times New Roman" w:cs="Times New Roman" w:eastAsia="Times New Roman" w:hAnsi="Times New Roman"/>
                <w:sz w:val="13"/>
                <w:szCs w:val="13"/>
                <w:b w:val="1"/>
                <w:bCs w:val="1"/>
                <w:color w:val="auto"/>
                <w:w w:val="96"/>
              </w:rPr>
              <w:t>Income/(Loss)</w:t>
            </w:r>
          </w:p>
        </w:tc>
        <w:tc>
          <w:tcPr>
            <w:tcW w:w="680" w:type="dxa"/>
            <w:vAlign w:val="bottom"/>
            <w:tcBorders>
              <w:top w:val="single" w:sz="8" w:color="auto"/>
            </w:tcBorders>
          </w:tcPr>
          <w:p>
            <w:pPr>
              <w:jc w:val="right"/>
              <w:ind w:right="89"/>
              <w:spacing w:after="0" w:line="143"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69"/>
              <w:spacing w:after="0" w:line="143"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40"/>
              <w:spacing w:after="0" w:line="143"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April 30, 2018</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72,434</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72</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253,616</w:t>
            </w: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389,146</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3"/>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1,689</w:t>
            </w:r>
          </w:p>
        </w:tc>
        <w:tc>
          <w:tcPr>
            <w:tcW w:w="24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18,167</w:t>
            </w: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(222,375)</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422,148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Proceeds from exercise of</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employee stock options</w:t>
            </w: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Change in unrealized loss on</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(77)</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rate swap, net of tax effect</w:t>
            </w: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9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Impact of adoption of accounting</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(4,610)</w:t>
            </w:r>
          </w:p>
        </w:tc>
        <w:tc>
          <w:tcPr>
            <w:tcW w:w="16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(4,610)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standard updates</w:t>
            </w: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under restricted</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(556)</w:t>
            </w:r>
          </w:p>
        </w:tc>
        <w:tc>
          <w:tcPr>
            <w:tcW w:w="8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(555)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 unit awards, net of shares surrendered</w:t>
            </w: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7,645</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7,645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Balance at July 31, 2018</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72,551</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255,189</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392,181</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1,612</w:t>
            </w:r>
          </w:p>
        </w:tc>
        <w:tc>
          <w:tcPr>
            <w:tcW w:w="2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18,167</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(222,375)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426,680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April 30, 2019</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72,864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263,180</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402,946</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18,167</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4"/>
                <w:szCs w:val="14"/>
                <w:color w:val="auto"/>
              </w:rPr>
              <w:t>(222,375)</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444,444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9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Change in unrealized loss on</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(328)</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interest rate swap, net of tax effect</w:t>
            </w: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under restricted</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 unit awards, net of shares surrendered</w:t>
            </w: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(2,108)</w:t>
            </w: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(2,108)</w:t>
            </w:r>
          </w:p>
        </w:tc>
        <w:tc>
          <w:tcPr>
            <w:tcW w:w="0" w:type="dxa"/>
            <w:vAlign w:val="bottom"/>
          </w:tcPr>
          <w:p>
            <w:pPr>
              <w:spacing w:after="0"/>
              <w:rPr>
                <w:sz w:val="1"/>
                <w:szCs w:val="1"/>
                <w:color w:val="auto"/>
              </w:rPr>
            </w:pPr>
          </w:p>
        </w:tc>
      </w:tr>
      <w:tr>
        <w:trPr>
          <w:trHeight w:val="156"/>
        </w:trPr>
        <w:tc>
          <w:tcPr>
            <w:tcW w:w="39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Balance at July 31, 2019</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72,988</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264,230</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400,838</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3"/>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292</w:t>
            </w:r>
          </w:p>
        </w:tc>
        <w:tc>
          <w:tcPr>
            <w:tcW w:w="2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18,167</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(222,375</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443,058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ind w:left="260" w:right="274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 BRANDS CORPORATION AND SUBSIDIARIES CONDENSED CONSOLIDATED STATEMENTS OF CASH FLOWS (Unaudited)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560" w:type="dxa"/>
            <w:vAlign w:val="bottom"/>
            <w:gridSpan w:val="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For the Three Months Ended July 31,</w:t>
            </w:r>
          </w:p>
        </w:tc>
      </w:tr>
      <w:tr>
        <w:trPr>
          <w:trHeight w:val="156"/>
        </w:trPr>
        <w:tc>
          <w:tcPr>
            <w:tcW w:w="7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r>
      <w:tr>
        <w:trPr>
          <w:trHeight w:val="156"/>
        </w:trPr>
        <w:tc>
          <w:tcPr>
            <w:tcW w:w="7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gridSpan w:val="4"/>
          </w:tcPr>
          <w:p>
            <w:pPr>
              <w:jc w:val="right"/>
              <w:ind w:right="95"/>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(loss)/income</w:t>
            </w:r>
          </w:p>
        </w:tc>
        <w:tc>
          <w:tcPr>
            <w:tcW w:w="150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(2,108)</w:t>
            </w:r>
          </w:p>
        </w:tc>
        <w:tc>
          <w:tcPr>
            <w:tcW w:w="580" w:type="dxa"/>
            <w:vAlign w:val="bottom"/>
            <w:gridSpan w:val="2"/>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in)/provided by operating activities:</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12,852</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 on sale/disposition of assets</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Provision for losses on notes and accounts receivable</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(1,520)</w:t>
            </w:r>
          </w:p>
        </w:tc>
      </w:tr>
      <w:tr>
        <w:trPr>
          <w:trHeight w:val="230"/>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Accounts receivable</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15,208</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Inventories</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(31,678)</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(13,538)</w:t>
            </w:r>
          </w:p>
        </w:tc>
      </w:tr>
      <w:tr>
        <w:trPr>
          <w:trHeight w:val="230"/>
        </w:trPr>
        <w:tc>
          <w:tcPr>
            <w:tcW w:w="73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(2,363)</w:t>
            </w:r>
          </w:p>
        </w:tc>
      </w:tr>
      <w:tr>
        <w:trPr>
          <w:trHeight w:val="230"/>
        </w:trPr>
        <w:tc>
          <w:tcPr>
            <w:tcW w:w="73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Income taxes</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(3,921)</w:t>
            </w:r>
          </w:p>
        </w:tc>
      </w:tr>
      <w:tr>
        <w:trPr>
          <w:trHeight w:val="230"/>
        </w:trPr>
        <w:tc>
          <w:tcPr>
            <w:tcW w:w="73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Accrued payroll and incentives</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(10,875)</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(653)</w:t>
            </w:r>
          </w:p>
        </w:tc>
      </w:tr>
      <w:tr>
        <w:trPr>
          <w:trHeight w:val="230"/>
        </w:trPr>
        <w:tc>
          <w:tcPr>
            <w:tcW w:w="73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profit sharing</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(6,675)</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(8,568)</w:t>
            </w:r>
          </w:p>
        </w:tc>
      </w:tr>
      <w:tr>
        <w:trPr>
          <w:trHeight w:val="230"/>
        </w:trPr>
        <w:tc>
          <w:tcPr>
            <w:tcW w:w="73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warranty</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(656)</w:t>
            </w:r>
          </w:p>
        </w:tc>
      </w:tr>
      <w:tr>
        <w:trPr>
          <w:trHeight w:val="230"/>
        </w:trPr>
        <w:tc>
          <w:tcPr>
            <w:tcW w:w="73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Other assets</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73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r>
      <w:tr>
        <w:trPr>
          <w:trHeight w:val="223"/>
        </w:trPr>
        <w:tc>
          <w:tcPr>
            <w:tcW w:w="7320" w:type="dxa"/>
            <w:vAlign w:val="bottom"/>
            <w:tcBorders>
              <w:top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cash (used in)/provided by operating activities</w:t>
            </w:r>
          </w:p>
        </w:tc>
        <w:tc>
          <w:tcPr>
            <w:tcW w:w="5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(29,138)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to acquire patents and software</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to acquire property and equipment</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(3,695)</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(6,919)</w:t>
            </w:r>
          </w:p>
        </w:tc>
      </w:tr>
      <w:tr>
        <w:trPr>
          <w:trHeight w:val="223"/>
        </w:trPr>
        <w:tc>
          <w:tcPr>
            <w:tcW w:w="732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4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120" w:type="dxa"/>
            <w:vAlign w:val="bottom"/>
            <w:tcBorders>
              <w:bottom w:val="single" w:sz="8" w:color="CFF0FC"/>
            </w:tcBorders>
          </w:tcPr>
          <w:p>
            <w:pPr>
              <w:spacing w:after="0"/>
              <w:rPr>
                <w:sz w:val="19"/>
                <w:szCs w:val="19"/>
                <w:color w:val="auto"/>
              </w:rPr>
            </w:pPr>
          </w:p>
        </w:tc>
      </w:tr>
      <w:tr>
        <w:trPr>
          <w:trHeight w:val="22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loans and notes payable</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on finance lease obligation</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on notes and loans payable</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(26,575)</w:t>
            </w:r>
          </w:p>
        </w:tc>
      </w:tr>
      <w:tr>
        <w:trPr>
          <w:trHeight w:val="230"/>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exercise of options to acquire common stock</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FF0FC"/>
          </w:tcPr>
          <w:p>
            <w:pPr>
              <w:spacing w:after="0"/>
              <w:rPr>
                <w:sz w:val="19"/>
                <w:szCs w:val="19"/>
                <w:color w:val="auto"/>
              </w:rPr>
            </w:pPr>
          </w:p>
        </w:tc>
      </w:tr>
      <w:tr>
        <w:trPr>
          <w:trHeight w:val="211"/>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employee withholding tax related to restricted</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units</w:t>
            </w: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(556)</w:t>
            </w:r>
          </w:p>
        </w:tc>
      </w:tr>
      <w:tr>
        <w:trPr>
          <w:trHeight w:val="223"/>
        </w:trPr>
        <w:tc>
          <w:tcPr>
            <w:tcW w:w="7320" w:type="dxa"/>
            <w:vAlign w:val="bottom"/>
            <w:tcBorders>
              <w:top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5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(10,283)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(23,622)</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5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48,860</w:t>
            </w:r>
          </w:p>
        </w:tc>
        <w:tc>
          <w:tcPr>
            <w:tcW w:w="120" w:type="dxa"/>
            <w:vAlign w:val="bottom"/>
            <w:shd w:val="clear" w:color="auto" w:fill="CFF0FC"/>
          </w:tcPr>
          <w:p>
            <w:pPr>
              <w:spacing w:after="0"/>
              <w:rPr>
                <w:sz w:val="19"/>
                <w:szCs w:val="19"/>
                <w:color w:val="auto"/>
              </w:rPr>
            </w:pPr>
          </w:p>
        </w:tc>
      </w:tr>
      <w:tr>
        <w:trPr>
          <w:trHeight w:val="263"/>
        </w:trPr>
        <w:tc>
          <w:tcPr>
            <w:tcW w:w="7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54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30,732</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25,238</w:t>
            </w:r>
          </w:p>
        </w:tc>
        <w:tc>
          <w:tcPr>
            <w:tcW w:w="120" w:type="dxa"/>
            <w:vAlign w:val="bottom"/>
            <w:tcBorders>
              <w:bottom w:val="single" w:sz="8" w:color="CFF0FC"/>
            </w:tcBorders>
          </w:tcPr>
          <w:p>
            <w:pPr>
              <w:spacing w:after="0"/>
              <w:rPr>
                <w:sz w:val="22"/>
                <w:szCs w:val="22"/>
                <w:color w:val="auto"/>
              </w:rPr>
            </w:pPr>
          </w:p>
        </w:tc>
      </w:tr>
      <w:tr>
        <w:trPr>
          <w:trHeight w:val="21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for:</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w:t>
            </w:r>
          </w:p>
        </w:tc>
        <w:tc>
          <w:tcPr>
            <w:tcW w:w="150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shd w:val="clear" w:color="auto" w:fill="CFF0FC"/>
          </w:tcPr>
          <w:p>
            <w:pPr>
              <w:spacing w:after="0"/>
              <w:rPr>
                <w:sz w:val="19"/>
                <w:szCs w:val="19"/>
                <w:color w:val="auto"/>
              </w:rPr>
            </w:pPr>
          </w:p>
        </w:tc>
      </w:tr>
      <w:tr>
        <w:trPr>
          <w:trHeight w:val="234"/>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150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tcPr>
          <w:p>
            <w:pPr>
              <w:spacing w:after="0"/>
              <w:rPr>
                <w:sz w:val="20"/>
                <w:szCs w:val="20"/>
                <w:color w:val="auto"/>
              </w:rPr>
            </w:pPr>
          </w:p>
        </w:tc>
        <w:tc>
          <w:tcPr>
            <w:tcW w:w="580" w:type="dxa"/>
            <w:vAlign w:val="bottom"/>
            <w:gridSpan w:val="2"/>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20"/>
                <w:szCs w:val="20"/>
                <w:color w:val="auto"/>
              </w:rPr>
            </w:pPr>
          </w:p>
        </w:tc>
      </w:tr>
      <w:tr>
        <w:trPr>
          <w:trHeight w:val="643"/>
        </w:trPr>
        <w:tc>
          <w:tcPr>
            <w:tcW w:w="732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73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jc w:val="center"/>
        <w:ind w:left="260" w:right="246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 BRANDS CORPORATION AND SUBSIDIARIES CONDENSED CONSOLIDATED STATEMENTS OF CASH FLOWS - (Continued) (Unaudited)</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920" w:type="dxa"/>
            <w:vAlign w:val="bottom"/>
            <w:tcBorders>
              <w:bottom w:val="single" w:sz="8" w:color="auto"/>
            </w:tcBorders>
            <w:gridSpan w:val="3"/>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For the Three Months Ended July 31,</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6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20" w:type="dxa"/>
            <w:vAlign w:val="bottom"/>
            <w:gridSpan w:val="2"/>
          </w:tcPr>
          <w:p>
            <w:pPr>
              <w:jc w:val="center"/>
              <w:ind w:right="403"/>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25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6"/>
                <w:szCs w:val="16"/>
                <w:color w:val="auto"/>
              </w:rPr>
              <w:t>547</w:t>
            </w:r>
          </w:p>
        </w:tc>
        <w:tc>
          <w:tcPr>
            <w:tcW w:w="1180" w:type="dxa"/>
            <w:vAlign w:val="bottom"/>
            <w:shd w:val="clear" w:color="auto" w:fill="CFF0FC"/>
          </w:tcPr>
          <w:p>
            <w:pPr>
              <w:jc w:val="right"/>
              <w:ind w:right="903"/>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4,332</w:t>
            </w:r>
          </w:p>
        </w:tc>
        <w:tc>
          <w:tcPr>
            <w:tcW w:w="120" w:type="dxa"/>
            <w:vAlign w:val="bottom"/>
            <w:shd w:val="clear" w:color="auto" w:fill="CFF0FC"/>
          </w:tcPr>
          <w:p>
            <w:pPr>
              <w:spacing w:after="0"/>
              <w:rPr>
                <w:sz w:val="19"/>
                <w:szCs w:val="19"/>
                <w:color w:val="auto"/>
              </w:rPr>
            </w:pP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 funded by capital lease</w:t>
            </w:r>
          </w:p>
        </w:tc>
        <w:tc>
          <w:tcPr>
            <w:tcW w:w="1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12,074</w:t>
            </w:r>
          </w:p>
        </w:tc>
        <w:tc>
          <w:tcPr>
            <w:tcW w:w="120" w:type="dxa"/>
            <w:vAlign w:val="bottom"/>
          </w:tcPr>
          <w:p>
            <w:pPr>
              <w:spacing w:after="0"/>
              <w:rPr>
                <w:sz w:val="19"/>
                <w:szCs w:val="19"/>
                <w:color w:val="auto"/>
              </w:rPr>
            </w:pPr>
          </w:p>
        </w:tc>
      </w:tr>
      <w:tr>
        <w:trPr>
          <w:trHeight w:val="23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lease obligation</w:t>
            </w:r>
          </w:p>
        </w:tc>
        <w:tc>
          <w:tcPr>
            <w:tcW w:w="15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12,074</w:t>
            </w:r>
          </w:p>
        </w:tc>
        <w:tc>
          <w:tcPr>
            <w:tcW w:w="120" w:type="dxa"/>
            <w:vAlign w:val="bottom"/>
            <w:shd w:val="clear" w:color="auto" w:fill="CFF0FC"/>
          </w:tcPr>
          <w:p>
            <w:pPr>
              <w:spacing w:after="0"/>
              <w:rPr>
                <w:sz w:val="19"/>
                <w:szCs w:val="19"/>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Changes in other assets for operating lease obligations</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10,928</w:t>
            </w:r>
          </w:p>
        </w:tc>
        <w:tc>
          <w:tcPr>
            <w:tcW w:w="1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Change in property and equipment for adoption of ASU 2016-02</w:t>
            </w:r>
          </w:p>
        </w:tc>
        <w:tc>
          <w:tcPr>
            <w:tcW w:w="1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7"/>
                <w:szCs w:val="17"/>
                <w:color w:val="auto"/>
              </w:rPr>
              <w:t>3,201</w:t>
            </w:r>
          </w:p>
        </w:tc>
        <w:tc>
          <w:tcPr>
            <w:tcW w:w="11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Changes in finance lease liabilities for the adoption of ASU 2016-02</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(4,245)</w:t>
            </w:r>
          </w:p>
        </w:tc>
        <w:tc>
          <w:tcPr>
            <w:tcW w:w="1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Changes in lease liabilities for operating lease obligations</w:t>
            </w:r>
          </w:p>
        </w:tc>
        <w:tc>
          <w:tcPr>
            <w:tcW w:w="1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7"/>
                <w:szCs w:val="17"/>
                <w:color w:val="auto"/>
              </w:rPr>
              <w:t>11,970</w:t>
            </w:r>
          </w:p>
        </w:tc>
        <w:tc>
          <w:tcPr>
            <w:tcW w:w="11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 w:name="page9"/>
    <w:bookmarkEnd w:id="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Months Ended July 31, 2019 and 2018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We are a leading manufacturer, designer, and provider of consumer products for the shooting, hunting, and rugged outdoor enthusiast. We are one of the largest manufacturers of handguns, modern sporting rifles, and handcuffs in the United States and an active participant in the hunting rifle and suppressor markets. We are also a leading provider of shooting, hunting, and rugged outdoor products and accessories, including knives and cutting tools, sighting lasers, shooting supplies, tree saws, and survival gear.</w:t>
      </w:r>
    </w:p>
    <w:p>
      <w:pPr>
        <w:spacing w:after="0" w:line="180"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our Firearms segment, we manufacture a wide array of handguns (including revolvers and pistols), long guns (including modern sporting rifles, bolt action rifles, and muzzleloaders), handcuffs, suppressors, and other firearm-related products for sale to a wide variety of customers, including gun enthusiasts, collectors, hunters, sportsmen, competitive shooters, individuals desiring home and personal protection, law enforcement and security agencies and officers, and military agencies in the United States and throughout the world. We sell our firearm products under the Smith &amp; Wesson, M&amp;P, Performance Center, Thompson/Center Arms, and Gemtech brands. We manufacture our firearm products at our facilities in Springfield, Massachusetts; Houlton, Maine; and Deep River, Connecticut. We also sell our manufacturing services to other businesses to level-load our factories. We sell those services under our Smith &amp; Wesson and Smith &amp; Wesson Precision Components brands.</w:t>
      </w:r>
    </w:p>
    <w:p>
      <w:pPr>
        <w:spacing w:after="0" w:line="189"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In our Outdoor Products &amp; Accessories segment, we design, source, distribute, and manufacture reloading, gunsmithing, and gun cleaning supplies; high-quality stainless steel cutting tools and accessories; flashlights; tree saws and related trimming accessories; shooting supplies, rests, and other related accessories; fishing accessories; apparel; vault accessories; laser grips and laser sights; and a full range of products for survival and emergency preparedness. We sell our products under the Caldwell, Crimson Trace, Wheeler, Tipton, Frankford Arsenal, Schrade, Imperial, Uncle Henry, BUBBA, UST, Lockdown, Hooyman, BOG, Old Timer, LaserLyte, and KeyGear brands. We also offer firearms and non-firearms accessories, such as flashlights and knives, under our brands in our firearms business, including Smith &amp; Wesson, M&amp;P, Performance Center, and Thompson/Center Arms. We develop and market our outdoor products and accessories at our facilities in Columbia, Missouri and Wilsonville, Oregon.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1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Interim Financial Information – </w:t>
      </w:r>
      <w:r>
        <w:rPr>
          <w:rFonts w:ascii="Times New Roman" w:cs="Times New Roman" w:eastAsia="Times New Roman" w:hAnsi="Times New Roman"/>
          <w:sz w:val="18"/>
          <w:szCs w:val="18"/>
          <w:color w:val="auto"/>
        </w:rPr>
        <w:t>The condensed consolidated balance sheet as of July 31, 2019, the condensed consolidated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(loss)/income and comprehensive (loss)/income for the three months ended July 31, 2019 and 2018, the condensed consolidated statement of changes in stockholders’ equity for the three months ended July 31, 2019, and the condensed consolidated statements of cash flows for the three months ended July 31, 2019 and 2018 have been prepared by us without audit. In our opinion, all adjustments, which include only normal recurring adjustments necessary to fairly present the financial position, results of operations, changes in stockholders’ equity, and cash flows at July 31, 2019 and for the periods presented, have been included. All intercompany transactions have been eliminated in consolidation. The consolidated balance sheet as of April 30, 2019 has been derived from our audited consolidated financial statements.</w:t>
      </w:r>
    </w:p>
    <w:p>
      <w:pPr>
        <w:spacing w:after="0" w:line="185"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or GAAP, have been condensed or omitted. These condensed consolidated financial statements should be read in conjunction with the consolidated financial statements and notes thereto included in our Annual Report on Form 10-K for the fiscal year ended April 30, 2019. The results of operations for the three months ended July 31, 2019 may not be indicative of the results that may be expected for the year ending April 30, 2020, or any other period.</w:t>
      </w:r>
    </w:p>
    <w:p>
      <w:pPr>
        <w:spacing w:after="0" w:line="182" w:lineRule="exact"/>
        <w:rPr>
          <w:sz w:val="20"/>
          <w:szCs w:val="20"/>
          <w:color w:val="auto"/>
        </w:rPr>
      </w:pPr>
    </w:p>
    <w:p>
      <w:pPr>
        <w:ind w:right="28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Recognition - </w:t>
      </w:r>
      <w:r>
        <w:rPr>
          <w:rFonts w:ascii="Times New Roman" w:cs="Times New Roman" w:eastAsia="Times New Roman" w:hAnsi="Times New Roman"/>
          <w:sz w:val="18"/>
          <w:szCs w:val="18"/>
          <w:color w:val="auto"/>
        </w:rPr>
        <w:t>We recognize revenue in accordance with the provisions of Accounting Standards Update, or ASU,</w:t>
      </w:r>
      <w:r>
        <w:rPr>
          <w:rFonts w:ascii="Times New Roman" w:cs="Times New Roman" w:eastAsia="Times New Roman" w:hAnsi="Times New Roman"/>
          <w:sz w:val="18"/>
          <w:szCs w:val="18"/>
          <w:i w:val="1"/>
          <w:iCs w:val="1"/>
          <w:color w:val="auto"/>
        </w:rPr>
        <w:t xml:space="preserve"> Revenue from Contracts with Customers </w:t>
      </w:r>
      <w:r>
        <w:rPr>
          <w:rFonts w:ascii="Times New Roman" w:cs="Times New Roman" w:eastAsia="Times New Roman" w:hAnsi="Times New Roman"/>
          <w:sz w:val="18"/>
          <w:szCs w:val="18"/>
          <w:color w:val="auto"/>
        </w:rPr>
        <w:t>(Topic 606), which became effective for us on May 1, 2018. Generally, all performance obligations are satisfied and revenue is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risks and rewards of ownership have transferred to the customer, which is generally upon shipment but could be delayed until the receipt of customer acceptance.</w:t>
      </w:r>
    </w:p>
    <w:p>
      <w:pPr>
        <w:spacing w:after="0" w:line="182"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In some instances, sales include multiple performance obligations. The most common of these instances relates to sales promotion programs that entitle customers to receive free goods based upon their purchase of our products. The fulfillment of these free goods are our responsibility. In such instances, we allocate the revenue of the promotional sales based on the estimated level of participation in the sales promotional program and the timing of the shipment of all of the products included in the promotional program, including the free goods. We recognize revenue proportionally as each performance obligation is satisfied, based on the relative transaction price of each product. The net change in contract liabilities for a given period is reported as an increase or decrease to sales.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p>
      <w:pPr>
        <w:jc w:val="center"/>
        <w:ind w:left="260" w:right="212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Months Ended July 31, 2019 and 2018</w:t>
      </w:r>
    </w:p>
    <w:p>
      <w:pPr>
        <w:spacing w:after="0" w:line="200" w:lineRule="exact"/>
        <w:rPr>
          <w:sz w:val="20"/>
          <w:szCs w:val="20"/>
          <w:color w:val="auto"/>
        </w:rPr>
      </w:pPr>
    </w:p>
    <w:p>
      <w:pPr>
        <w:spacing w:after="0" w:line="218"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Our product sales are generally sold free on board, or FOB, shipping point and provide payment terms to most commercial customers ranging from 20 to 90 days of product shipment with a discount available to some customers for early payment. For contracts with discounted terms, we determine the transaction price upon establishment of the contract that contains the final terms of the sale, including the description, quantity, and price of each product purchased. We estimate variable consideration relative to the amount of cash discounts to which customers are likely to be entitled. In some instances, we provide longer payment terms, particularly as it relates to our hunting dating programs, which represent payment terms due in the fall for certain orders of hunting products received in the spring and summer. We do not consider these extended terms to be a significant financing component of the contract because the payment terms are less than one year. In all cases, we consider our costs related to shipping and handling to be a cost of fulfilling the contract with the customer.</w:t>
      </w:r>
    </w:p>
    <w:p>
      <w:pPr>
        <w:spacing w:after="0" w:line="183" w:lineRule="exact"/>
        <w:rPr>
          <w:sz w:val="20"/>
          <w:szCs w:val="20"/>
          <w:color w:val="auto"/>
        </w:rPr>
      </w:pPr>
    </w:p>
    <w:p>
      <w:pPr>
        <w:ind w:right="80" w:firstLine="518"/>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Recently Issued Accounting Standards – </w:t>
      </w:r>
      <w:r>
        <w:rPr>
          <w:rFonts w:ascii="Times New Roman" w:cs="Times New Roman" w:eastAsia="Times New Roman" w:hAnsi="Times New Roman"/>
          <w:sz w:val="17"/>
          <w:szCs w:val="17"/>
          <w:color w:val="auto"/>
        </w:rPr>
        <w:t>In February 2016, the FASB issued ASU 2016-02,</w:t>
      </w:r>
      <w:r>
        <w:rPr>
          <w:rFonts w:ascii="Times New Roman" w:cs="Times New Roman" w:eastAsia="Times New Roman" w:hAnsi="Times New Roman"/>
          <w:sz w:val="17"/>
          <w:szCs w:val="17"/>
          <w:i w:val="1"/>
          <w:iCs w:val="1"/>
          <w:color w:val="auto"/>
        </w:rPr>
        <w:t xml:space="preserve"> Leases </w:t>
      </w:r>
      <w:r>
        <w:rPr>
          <w:rFonts w:ascii="Times New Roman" w:cs="Times New Roman" w:eastAsia="Times New Roman" w:hAnsi="Times New Roman"/>
          <w:sz w:val="17"/>
          <w:szCs w:val="17"/>
          <w:color w:val="auto"/>
        </w:rPr>
        <w:t>(Topic 842), or ASU 2016-02, which amends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existing guidance to require lessees to recognize right-of-use assets and lease liabilities in a classified balance sheet. The most prominent among the changes in the standard is the requirement for lessees to recognize right-of-use assets and lease liabilities for those leases classified as operating leases under current U.S. GAAP. The requirements of this ASU are effective for financial statements for annual periods beginning after December 15, 2018, and early adoption is permitted. We utilized leasing software to assist us in the accounting and tracking of leases and used the optional transitional method allowed by ASU 2018-11, Leases (Topic 842 Targeted Improvements. Under this method, we applied the standard using the modified retrospective method with an adoption date of May 1, 2019. We elected to use the package of practical expedients, which permits us to not reassess certain lease contract provisions. We adopted ASU</w:t>
      </w:r>
    </w:p>
    <w:p>
      <w:pPr>
        <w:spacing w:after="0" w:line="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2016-02 effective May 1, 2019 and recognized right-of-use assets of $11.5 million, lease liabilities of $12.8 million. The difference between the right-of-use assets and the lease liabilities of $1.3 million is a result of the reclassification of deferred rent and lease incentive liabilities primarily relating to our real estate operating leases into the right-of use assets, which had no impact to retained earnings. See also Note 3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more information.</w:t>
      </w:r>
    </w:p>
    <w:p>
      <w:pPr>
        <w:spacing w:after="0" w:line="184"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2016-13, Financial Instruments —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xml:space="preserve"> (Topic 326): Measurement of Credit Losses on Financial Instruments. The new standard changes the impairment model for most financial assets that are measured at amortized cost and certain other instruments, including trade receivables, from an incurred loss model to an expected loss model and adds certain new required disclosures. Under the expected loss model, entities will recognize credit losses to be incurred over the entire contractual term of the instrument rather than delaying recognition of credit losses until it is probable the loss has been incurred. The requirements of this ASU are effective for financial statements for annual periods beginning after December 15, 2019, and early adoption is permitted. We are currently evaluating the impact this standard will have on our consolidated financial statements, which we do not expect to be material.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121"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We lease certain of our real estate, machinery, photocopiers, and vehicles under non-cancelable operating lease agreements. On May 1, 2019, we adopted ASU No. 2016-02, Leases (Topic 842), which requires the recognition of the right-of-use assets and related operating and finance lease liabilities in our condensed consolidated balance sheet. The most prominent among the changes in the standard is the requirement for lessees to recognize right-of-use assets and lease liabilities for those leases classified as operating leases under current U.S. GAAP. We adopted Topic 842 using a modified retrospective approach for all leases existing at May 1, 2019.</w:t>
      </w:r>
    </w:p>
    <w:p>
      <w:pPr>
        <w:spacing w:after="0" w:line="184"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Operating lease assets and liabilities are recognized at the commencement date based on the present value of lease payments over the lease term. Our leases do not provide an implicit rate, we use our incremental borrowing rate based on the information available at the commencement date in determining the present value of lease payments. Our lease agreements do not require material variable lease payments, residual value guarantees, or restrictive covenants. For operating leases, expense is recognized on a straight-line basis over the lease term. Tenant improvement allowances are recorded as an offsetting adjustment included in our calculation of its right-of-use asset.</w:t>
      </w:r>
    </w:p>
    <w:p>
      <w:pPr>
        <w:spacing w:after="0" w:line="184" w:lineRule="exact"/>
        <w:rPr>
          <w:sz w:val="20"/>
          <w:szCs w:val="20"/>
          <w:color w:val="auto"/>
        </w:rPr>
      </w:pPr>
    </w:p>
    <w:p>
      <w:pPr>
        <w:ind w:right="400" w:firstLine="518"/>
        <w:spacing w:after="0" w:line="266" w:lineRule="auto"/>
        <w:rPr>
          <w:sz w:val="20"/>
          <w:szCs w:val="20"/>
          <w:color w:val="auto"/>
        </w:rPr>
      </w:pPr>
      <w:r>
        <w:rPr>
          <w:rFonts w:ascii="Times New Roman" w:cs="Times New Roman" w:eastAsia="Times New Roman" w:hAnsi="Times New Roman"/>
          <w:sz w:val="18"/>
          <w:szCs w:val="18"/>
          <w:color w:val="auto"/>
        </w:rPr>
        <w:t>Many of our leases include renewal options that can extend the lease term. The execution of those renewal options is at our sole discretion and reflected in the lease term when they are reasonably certain to be exercised. The depreciable life of assets and leasehold improvements are limited by the expected lease term.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0" w:name="page11"/>
    <w:bookmarkEnd w:id="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Months Ended July 31, 2019 and 2018</w:t>
      </w:r>
    </w:p>
    <w:p>
      <w:pPr>
        <w:spacing w:after="0" w:line="200" w:lineRule="exact"/>
        <w:rPr>
          <w:sz w:val="20"/>
          <w:szCs w:val="20"/>
          <w:color w:val="auto"/>
        </w:rPr>
      </w:pP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amounts of assets and liabilities related to our operating and financing leases as of July 31, 2019 are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404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3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Right-of-use assets, net</w:t>
            </w:r>
          </w:p>
        </w:tc>
        <w:tc>
          <w:tcPr>
            <w:tcW w:w="40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shd w:val="clear" w:color="auto" w:fill="CFF0FC"/>
          </w:tcPr>
          <w:p>
            <w:pPr>
              <w:spacing w:after="0"/>
              <w:rPr>
                <w:sz w:val="18"/>
                <w:szCs w:val="18"/>
                <w:color w:val="auto"/>
              </w:rPr>
            </w:pPr>
          </w:p>
        </w:tc>
        <w:tc>
          <w:tcPr>
            <w:tcW w:w="3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4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vMerge w:val="restart"/>
          </w:tcPr>
          <w:p>
            <w:pPr>
              <w:spacing w:after="0"/>
              <w:rPr>
                <w:sz w:val="24"/>
                <w:szCs w:val="24"/>
                <w:color w:val="auto"/>
              </w:rPr>
            </w:pPr>
          </w:p>
        </w:tc>
        <w:tc>
          <w:tcPr>
            <w:tcW w:w="56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Right-of-use assets, net</w:t>
            </w:r>
          </w:p>
        </w:tc>
        <w:tc>
          <w:tcPr>
            <w:tcW w:w="40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shd w:val="clear" w:color="auto" w:fill="CFF0FC"/>
          </w:tcPr>
          <w:p>
            <w:pPr>
              <w:spacing w:after="0"/>
              <w:rPr>
                <w:sz w:val="18"/>
                <w:szCs w:val="18"/>
                <w:color w:val="auto"/>
              </w:rPr>
            </w:pPr>
          </w:p>
        </w:tc>
        <w:tc>
          <w:tcPr>
            <w:tcW w:w="3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4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payable, net of current portion</w:t>
            </w: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We recorded $1.0 million of operating lease costs, of which $200,000 were short-term operating lease costs, $535,000 of financing lease amortization, and $520,000 of financing lease interest expense during the three months ended July 31, 2019. As of July 31, 2019, our weighted average lease term and weighted average discount rate for our operating leases was 4.8 years and 4.6%, respectively. As of July 31, 2019, our weighted average lease term and weighted average discount rate for our financing leases was 19.0 years and 5.0%, respectively, and consists primarily of our national logistics facility located in Columbia, Missouri. The depreciable lives of right-of-use assets are limited by the lease term and are amortized on a straight-line basis over the life of the lease.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lease payments for all our operating and finance leases for succeeding fiscal years is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22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2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2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48,853</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49,543</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66,531</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79,687</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(24,909)</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(26,561)</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2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11,504</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41,622</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53,126</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maturities of lease liabilities</w:t>
            </w:r>
          </w:p>
        </w:tc>
        <w:tc>
          <w:tcPr>
            <w:tcW w:w="2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Long-term maturities of lease liabilities</w:t>
            </w:r>
          </w:p>
        </w:tc>
        <w:tc>
          <w:tcPr>
            <w:tcW w:w="226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40,708</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49,486</w:t>
            </w:r>
          </w:p>
        </w:tc>
        <w:tc>
          <w:tcPr>
            <w:tcW w:w="1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2019, the cash paid for amounts included in the measurement of the liabilities and the operating cash flows was $1.4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 and Contracts with Customers:</w:t>
      </w:r>
    </w:p>
    <w:p>
      <w:pPr>
        <w:spacing w:after="0" w:line="119" w:lineRule="exact"/>
        <w:rPr>
          <w:sz w:val="20"/>
          <w:szCs w:val="20"/>
          <w:color w:val="auto"/>
        </w:rPr>
      </w:pPr>
    </w:p>
    <w:p>
      <w:pPr>
        <w:ind w:right="200" w:firstLine="518"/>
        <w:spacing w:after="0" w:line="284" w:lineRule="auto"/>
        <w:rPr>
          <w:sz w:val="20"/>
          <w:szCs w:val="20"/>
          <w:color w:val="auto"/>
        </w:rPr>
      </w:pPr>
      <w:r>
        <w:rPr>
          <w:rFonts w:ascii="Times New Roman" w:cs="Times New Roman" w:eastAsia="Times New Roman" w:hAnsi="Times New Roman"/>
          <w:sz w:val="18"/>
          <w:szCs w:val="18"/>
          <w:color w:val="auto"/>
        </w:rPr>
        <w:t xml:space="preserve">On May 1, 2018, we adopted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or ASU 2014-09, using the modified retrospective approach, and recorded a contract liability, included in accrued expenses in the condensed consolidated balance</w:t>
      </w:r>
    </w:p>
    <w:p>
      <w:pPr>
        <w:sectPr>
          <w:pgSz w:w="11900" w:h="16838" w:orient="portrait"/>
          <w:cols w:equalWidth="0" w:num="1">
            <w:col w:w="11420"/>
          </w:cols>
          <w:pgMar w:left="240" w:top="117"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11" w:name="page12"/>
    <w:bookmarkEnd w:id="1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Months Ended July 31, 2019 and 2018</w:t>
      </w:r>
    </w:p>
    <w:p>
      <w:pPr>
        <w:spacing w:after="0" w:line="3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sheet, for outstanding performance obligations related to sales promotions. When evaluating our performance obligations, we disaggregate revenue based on major product lines, which correlate with our reportable segments disclosed in Note 11 —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Also, domestic sales account for 95% of our total net sales. There are no significant judgments or estimates used in the determination of performance obligations, and the transaction price for the performance obligations are allocated on a pro-rata basis. There are no other contract costs that need to be considered based on the nature of our performance obligations.</w:t>
      </w:r>
    </w:p>
    <w:p>
      <w:pPr>
        <w:spacing w:after="0" w:line="184"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impact of the adoption of ASU 2014-09 on revenue recognized during the three-month periods ended July 31, 2019 and 2018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July 31, 2019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July 31, 2018</w:t>
            </w:r>
          </w:p>
        </w:tc>
      </w:tr>
      <w:tr>
        <w:trPr>
          <w:trHeight w:val="226"/>
        </w:trPr>
        <w:tc>
          <w:tcPr>
            <w:tcW w:w="7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performance obligations at beginning of period</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23,305</w:t>
            </w:r>
          </w:p>
        </w:tc>
        <w:tc>
          <w:tcPr>
            <w:tcW w:w="280" w:type="dxa"/>
            <w:vAlign w:val="bottom"/>
            <w:tcBorders>
              <w:top w:val="single" w:sz="8" w:color="CFF0FC"/>
            </w:tcBorders>
            <w:shd w:val="clear" w:color="auto" w:fill="CFF0FC"/>
          </w:tcPr>
          <w:p>
            <w:pPr>
              <w:spacing w:after="0"/>
              <w:rPr>
                <w:sz w:val="19"/>
                <w:szCs w:val="19"/>
                <w:color w:val="auto"/>
              </w:rPr>
            </w:pP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(14,571)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(13,998)</w:t>
            </w:r>
          </w:p>
        </w:tc>
      </w:tr>
      <w:tr>
        <w:trPr>
          <w:trHeight w:val="23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deferred</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280" w:type="dxa"/>
            <w:vAlign w:val="bottom"/>
            <w:shd w:val="clear" w:color="auto" w:fill="CFF0FC"/>
          </w:tcPr>
          <w:p>
            <w:pPr>
              <w:spacing w:after="0"/>
              <w:rPr>
                <w:sz w:val="19"/>
                <w:szCs w:val="19"/>
                <w:color w:val="auto"/>
              </w:rPr>
            </w:pP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performance obligations at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13,621</w:t>
            </w:r>
          </w:p>
        </w:tc>
        <w:tc>
          <w:tcPr>
            <w:tcW w:w="28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During the three months ended July 31, 2019, we recognized $14.6 million of deferred revenue, most of which was previously deferred as of April 30, 2019, as the performance obligations relating to sales promotions were satisfied. This recognition of revenue was partially offset by $5.5 million of additional deferred revenue for outstanding performance obligations relating to sales promotions that have not been satisfied, which was recorded to accrued expenses in the condensed consolidation balance sheet. This resulted in a $9.1 million net increase in revenue during the three months ended July 31, 2019. We estimate that revenue from the outstanding performance obligations as of July 31, 2019 will be recognized during fiscal 2020.</w:t>
      </w:r>
    </w:p>
    <w:p>
      <w:pPr>
        <w:spacing w:after="0" w:line="184"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During the three months ended July 31, 2018, we recognized $14.0 million of revenue previously deferred as of May 1, 2018, the date we adopted ASU 2014-09, as the performance obligations relating to sales promotions were satisfied. This recognition of revenue was partially offset by $4.3 million of additional deferred revenue for outstanding performance obligations relating to sales promotions that have not been satisfied, which was recorded to accrued expenses in the condensed consolidated balance sheet. This resulted in a $9.7 million net increase in revenue during the three months ended July 31, 2018. This resulted in an outstanding performance obligation liability of $13.6 million that is recorded in accrued expenses in the condensed consolidated balance sheet.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three months ended July 31, 2019 by reporting segment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Outdoor</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Products &amp;</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6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Firearms</w:t>
            </w:r>
          </w:p>
        </w:tc>
        <w:tc>
          <w:tcPr>
            <w:tcW w:w="20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Accessories</w:t>
            </w:r>
          </w:p>
        </w:tc>
        <w:tc>
          <w:tcPr>
            <w:tcW w:w="240" w:type="dxa"/>
            <w:vAlign w:val="bottom"/>
          </w:tcPr>
          <w:p>
            <w:pPr>
              <w:spacing w:after="0"/>
              <w:rPr>
                <w:sz w:val="12"/>
                <w:szCs w:val="12"/>
                <w:color w:val="auto"/>
              </w:rPr>
            </w:pPr>
          </w:p>
        </w:tc>
        <w:tc>
          <w:tcPr>
            <w:tcW w:w="122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73"/>
        </w:trPr>
        <w:tc>
          <w:tcPr>
            <w:tcW w:w="6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0" w:type="dxa"/>
            <w:vAlign w:val="bottom"/>
          </w:tcPr>
          <w:p>
            <w:pPr>
              <w:spacing w:after="0"/>
              <w:rPr>
                <w:sz w:val="15"/>
                <w:szCs w:val="15"/>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40" w:type="dxa"/>
            <w:vAlign w:val="bottom"/>
          </w:tcPr>
          <w:p>
            <w:pPr>
              <w:spacing w:after="0"/>
              <w:rPr>
                <w:sz w:val="15"/>
                <w:szCs w:val="15"/>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April 30, 2019</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19,024</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163,245</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182,269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July 31, 2019</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163,243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11 —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for more detail on segment financial information.</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 w:name="page13"/>
    <w:bookmarkEnd w:id="1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Months Ended July 31, 2019 and 2018</w:t>
      </w:r>
    </w:p>
    <w:p>
      <w:pPr>
        <w:spacing w:after="0" w:line="200" w:lineRule="exact"/>
        <w:rPr>
          <w:sz w:val="20"/>
          <w:szCs w:val="20"/>
          <w:color w:val="auto"/>
        </w:rPr>
      </w:pP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intangible assets as of July 31, 2019 and April 30, 2019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April 30, 2019</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3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73"/>
        </w:trPr>
        <w:tc>
          <w:tcPr>
            <w:tcW w:w="3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92,560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(44,478)</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48,082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92,560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(41,643)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(10,947)</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(10,428)</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10,802</w:t>
            </w:r>
          </w:p>
        </w:tc>
        <w:tc>
          <w:tcPr>
            <w:tcW w:w="100" w:type="dxa"/>
            <w:vAlign w:val="bottom"/>
          </w:tcPr>
          <w:p>
            <w:pPr>
              <w:spacing w:after="0"/>
              <w:rPr>
                <w:sz w:val="19"/>
                <w:szCs w:val="19"/>
                <w:color w:val="auto"/>
              </w:rPr>
            </w:pPr>
          </w:p>
        </w:tc>
      </w:tr>
      <w:tr>
        <w:trPr>
          <w:trHeight w:val="23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 trademarks, and trade names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57,659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(29,974)</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57,477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(28,479)</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28,998</w:t>
            </w:r>
          </w:p>
        </w:tc>
        <w:tc>
          <w:tcPr>
            <w:tcW w:w="100" w:type="dxa"/>
            <w:vAlign w:val="bottom"/>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c>
          <w:tcPr>
            <w:tcW w:w="1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(1,150)</w:t>
            </w: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7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172,599</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(86,549)</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86,050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172,417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(81,700)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Patents in progress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19"/>
                <w:szCs w:val="19"/>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173,436</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(86,549)</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86,887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173,314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(81,700)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91,614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9"/>
                <w:szCs w:val="19"/>
                <w:color w:val="auto"/>
              </w:rPr>
            </w:pPr>
          </w:p>
        </w:tc>
      </w:tr>
      <w:tr>
        <w:trPr>
          <w:trHeight w:val="223"/>
        </w:trPr>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173,662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(86,549</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(81,700</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0" w:firstLine="518"/>
        <w:spacing w:after="0" w:line="261" w:lineRule="auto"/>
        <w:rPr>
          <w:sz w:val="20"/>
          <w:szCs w:val="20"/>
          <w:color w:val="auto"/>
        </w:rPr>
      </w:pPr>
      <w:r>
        <w:rPr>
          <w:rFonts w:ascii="Times New Roman" w:cs="Times New Roman" w:eastAsia="Times New Roman" w:hAnsi="Times New Roman"/>
          <w:sz w:val="18"/>
          <w:szCs w:val="18"/>
          <w:color w:val="auto"/>
        </w:rPr>
        <w:t>We amortize intangible assets with determinable lives over a weighted-average period of approximately five years. The weighted-average periods of amortization by intangible asset class is approximately five years for customer relationships, six years for developed technology, and five years for patents, trademarks, and trade names. Amortization expense, excluding amortization of deferred financing costs, amounted to $4.8 million and $5.4 million for the three months ended July 31, 2019 and 2018, respectively.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Estimated amortization expense of intangible assets for the remainder of fiscal 2020 and succeeding fiscal years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3"/>
        </w:trPr>
        <w:tc>
          <w:tcPr>
            <w:tcW w:w="9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100" w:type="dxa"/>
            <w:vAlign w:val="bottom"/>
          </w:tcPr>
          <w:p>
            <w:pPr>
              <w:spacing w:after="0"/>
              <w:rPr>
                <w:sz w:val="19"/>
                <w:szCs w:val="19"/>
                <w:color w:val="auto"/>
              </w:rPr>
            </w:pPr>
          </w:p>
        </w:tc>
      </w:tr>
      <w:tr>
        <w:trPr>
          <w:trHeight w:val="230"/>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100" w:type="dxa"/>
            <w:vAlign w:val="bottom"/>
            <w:shd w:val="clear" w:color="auto" w:fill="CFF0FC"/>
          </w:tcPr>
          <w:p>
            <w:pPr>
              <w:spacing w:after="0"/>
              <w:rPr>
                <w:sz w:val="19"/>
                <w:szCs w:val="19"/>
                <w:color w:val="auto"/>
              </w:rPr>
            </w:pP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11,849</w:t>
            </w:r>
          </w:p>
        </w:tc>
        <w:tc>
          <w:tcPr>
            <w:tcW w:w="100" w:type="dxa"/>
            <w:vAlign w:val="bottom"/>
          </w:tcPr>
          <w:p>
            <w:pPr>
              <w:spacing w:after="0"/>
              <w:rPr>
                <w:sz w:val="19"/>
                <w:szCs w:val="19"/>
                <w:color w:val="auto"/>
              </w:rPr>
            </w:pPr>
          </w:p>
        </w:tc>
      </w:tr>
      <w:tr>
        <w:trPr>
          <w:trHeight w:val="230"/>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100" w:type="dxa"/>
            <w:vAlign w:val="bottom"/>
            <w:shd w:val="clear" w:color="auto" w:fill="CFF0FC"/>
          </w:tcPr>
          <w:p>
            <w:pPr>
              <w:spacing w:after="0"/>
              <w:rPr>
                <w:sz w:val="19"/>
                <w:szCs w:val="19"/>
                <w:color w:val="auto"/>
              </w:rPr>
            </w:pPr>
          </w:p>
        </w:tc>
      </w:tr>
      <w:tr>
        <w:trPr>
          <w:trHeight w:val="230"/>
        </w:trPr>
        <w:tc>
          <w:tcPr>
            <w:tcW w:w="9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18,862</w:t>
            </w:r>
          </w:p>
        </w:tc>
        <w:tc>
          <w:tcPr>
            <w:tcW w:w="100" w:type="dxa"/>
            <w:vAlign w:val="bottom"/>
            <w:tcBorders>
              <w:bottom w:val="single" w:sz="8" w:color="CFF0FC"/>
            </w:tcBorders>
          </w:tcPr>
          <w:p>
            <w:pPr>
              <w:spacing w:after="0"/>
              <w:rPr>
                <w:sz w:val="19"/>
                <w:szCs w:val="19"/>
                <w:color w:val="auto"/>
              </w:rPr>
            </w:pPr>
          </w:p>
        </w:tc>
      </w:tr>
      <w:tr>
        <w:trPr>
          <w:trHeight w:val="223"/>
        </w:trPr>
        <w:tc>
          <w:tcPr>
            <w:tcW w:w="9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86,050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Notes, Loans Payable, and Financing Arrangements:</w:t>
      </w:r>
    </w:p>
    <w:p>
      <w:pPr>
        <w:spacing w:after="0" w:line="11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 On June 15, 2015, we and certain of our domestic subsidiaries entered into an unsecured credit facility, or the Credit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TD Bank, N.A. and other lenders, or the Lenders, which included a $175.0 million revolving line of credit, or the Revolving Line, and a $105.0 million term loan, or the Term Loan, of which $79.8 million remained outstanding as of July 31, 2019. The Revolving Line provides for availability for general corporate purposes, with borrowings to bear interest at a variable rate equal to LIBOR or prime plus an applicable margin based on our consolidated leverage ratio, at our election. On October 27, 2016, we entered into a second amendment to our Credit Agreement, or the Second Amendment, which, among other things, increased the Revolving Line to $350.0 million, increased the option to expand the credit commitment to an additional $150.0 million, and extended the maturity of the Revolving Line from June 15, 2020 to October 27, 2021. Other than the changes described in the Second Amendment, we otherwise remain subject to the terms of the Credit Agreement, as described below.</w:t>
      </w:r>
    </w:p>
    <w:p>
      <w:pPr>
        <w:spacing w:after="0" w:line="187" w:lineRule="exact"/>
        <w:rPr>
          <w:sz w:val="20"/>
          <w:szCs w:val="20"/>
          <w:color w:val="auto"/>
        </w:rPr>
      </w:pPr>
    </w:p>
    <w:p>
      <w:pPr>
        <w:ind w:right="320" w:firstLine="518"/>
        <w:spacing w:after="0" w:line="266" w:lineRule="auto"/>
        <w:rPr>
          <w:sz w:val="20"/>
          <w:szCs w:val="20"/>
          <w:color w:val="auto"/>
        </w:rPr>
      </w:pPr>
      <w:r>
        <w:rPr>
          <w:rFonts w:ascii="Times New Roman" w:cs="Times New Roman" w:eastAsia="Times New Roman" w:hAnsi="Times New Roman"/>
          <w:sz w:val="18"/>
          <w:szCs w:val="18"/>
          <w:color w:val="auto"/>
        </w:rPr>
        <w:t>As of July 31, 2019, we had $25.0 million of borrowings outstanding on the Revolving Line, which bore interest at 4.31%, which is equal to the LIBOR rate plus an applicable margin. The Term Loan, which bears interest at a variable rate, requires principal payments of $6.3 million per annum plus interest, payable quarterly. Any remaining outstanding amount under the Term Loan on the maturity date of June 15, 2020 will be due in full.</w:t>
      </w:r>
    </w:p>
    <w:p>
      <w:pPr>
        <w:spacing w:after="0" w:line="176"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We were required to obtain interest rate protection on the Term Loan covering not less than 75% of the aggregate outstanding principal balance of the Term Loan. Accordingly, on June 18, 2015, we entered into an interest rate swap agreement, which expires on June 15, 2020, that covered 100% of the $105.0 million of floating rate debt. On July 6, 2015, we executed an interest rate swap pursuant to such agreement, which requires us to pay interest at a defined rate of 1.56% while receiving interest at a defined variable rate equal to the one-month LIBOR rate. This swap, when combined with the applicable margin based on our consolidated leverage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 w:name="page14"/>
    <w:bookmarkEnd w:id="13"/>
    <w:p>
      <w:pPr>
        <w:jc w:val="center"/>
        <w:ind w:left="260" w:right="2120"/>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Months Ended July 31, 2019 and 2018</w:t>
      </w:r>
    </w:p>
    <w:p>
      <w:pPr>
        <w:spacing w:after="0" w:line="200" w:lineRule="exact"/>
        <w:rPr>
          <w:sz w:val="20"/>
          <w:szCs w:val="20"/>
          <w:color w:val="auto"/>
        </w:rPr>
      </w:pPr>
    </w:p>
    <w:p>
      <w:pPr>
        <w:spacing w:after="0" w:line="2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ratio, effectively fixed our interest rate on the Term Loan, which is subject to change based on changes in our consolidated leverage ratio. As of July 31, 2019, our interest rate on the Term Loan was 4.38%.</w:t>
      </w:r>
    </w:p>
    <w:p>
      <w:pPr>
        <w:spacing w:after="0" w:line="162" w:lineRule="exact"/>
        <w:rPr>
          <w:sz w:val="20"/>
          <w:szCs w:val="20"/>
          <w:color w:val="auto"/>
        </w:rPr>
      </w:pPr>
    </w:p>
    <w:p>
      <w:pPr>
        <w:jc w:val="both"/>
        <w:ind w:right="160" w:firstLine="518"/>
        <w:spacing w:after="0" w:line="266" w:lineRule="auto"/>
        <w:rPr>
          <w:sz w:val="20"/>
          <w:szCs w:val="20"/>
          <w:color w:val="auto"/>
        </w:rPr>
      </w:pPr>
      <w:r>
        <w:rPr>
          <w:rFonts w:ascii="Times New Roman" w:cs="Times New Roman" w:eastAsia="Times New Roman" w:hAnsi="Times New Roman"/>
          <w:sz w:val="18"/>
          <w:szCs w:val="18"/>
          <w:color w:val="auto"/>
        </w:rPr>
        <w:t>As of July 31, 2019, the interest rate swap was considered effective and had no effect on earnings. The fair value of the interest rate swap on July 31, 2019 was an asset of $300,000, which was recorded in other assets on our condensed consolidated balance sheet. We do not expect the interest rate swap to have any material impact on earnings within the next 12 months.</w:t>
      </w:r>
    </w:p>
    <w:p>
      <w:pPr>
        <w:spacing w:after="0" w:line="20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2020 Senior Notes </w:t>
      </w:r>
      <w:r>
        <w:rPr>
          <w:rFonts w:ascii="Times New Roman" w:cs="Times New Roman" w:eastAsia="Times New Roman" w:hAnsi="Times New Roman"/>
          <w:sz w:val="18"/>
          <w:szCs w:val="18"/>
          <w:color w:val="auto"/>
        </w:rPr>
        <w:t>– On February 28, 2018, we issued an aggregate of $75.0 million of the 2020 Senior Notes to various institutional investors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terms and conditions of an indenture, or the 2020 Senior Notes Indenture, and purchase agreements. The 2020 Senior Notes bear interest at a rate of 5.000% per annum payable on February 28 and August 28 of each year, beginning on August 28, 2018. We incurred $158,000 of debt issuance costs related to the issuance of the 2020 Senior Notes.</w:t>
      </w:r>
    </w:p>
    <w:p>
      <w:pPr>
        <w:spacing w:after="0" w:line="182"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As of February 28, 2019, we may, at our option, upon not less than 30 nor more than 60 days’ prior notice, redeem all or a portion of the 2020 Senior Notes at a redemption price of 100.000% of the principal amount of the 2020 Senior Notes to be redeemed plus accrued and unpaid interest as of the applicable redemption date. Subject to certain restrictions and conditions, we may be required to make an offer to repurchase the 2020 Senior Notes from the holders of the 2020 Senior Notes in connection with a change of control or disposition of assets. If not redeemed by us or repaid pursuant to the holders’ right to require repurchase, the 2020 Senior Notes mature on August 28, 2020.</w:t>
      </w:r>
    </w:p>
    <w:p>
      <w:pPr>
        <w:spacing w:after="0" w:line="184"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The 2020 Senior Notes are general, unsecured obligations of our company. The 2020 Senior Notes Indenture contains certain affirmative and negative covenants, including limitations on restricted payments (such as share repurchases, dividends, and early payment of indebtedness), limitations on indebtedness, limitations on the sale of assets, and limitations on liens. Payments that would otherwise be characterized as restricted payments are permitted under the 2020 Senior Notes Indenture in an amount not to exceed 50% of our consolidated net income for the period from the issue date to the date of the restricted payment, provided that at the time of making such payments, (a) no default has occurred or would result from the making of such payments, and</w:t>
      </w:r>
    </w:p>
    <w:p>
      <w:pPr>
        <w:spacing w:after="0" w:line="3" w:lineRule="exact"/>
        <w:rPr>
          <w:sz w:val="20"/>
          <w:szCs w:val="20"/>
          <w:color w:val="auto"/>
        </w:rPr>
      </w:pPr>
    </w:p>
    <w:p>
      <w:pPr>
        <w:ind w:right="80" w:firstLine="8"/>
        <w:spacing w:after="0" w:line="250"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able to satisfy the debt incurrence test under the 2020 Senior Notes Indenture, or the 2020 Senior Notes Lifetime Aggregate Limit. In addition, the 2020 Senior Notes Indenture provides for other exceptions to the restricted payments covenant, each of which are independent of the 2020 Senior Notes Lifetime Aggregate Limit. Among such exceptions are (i) the ability to make share repurchases each fiscal year in an amount not to exceed the lesser of</w:t>
      </w:r>
    </w:p>
    <w:p>
      <w:pPr>
        <w:spacing w:after="0" w:line="1" w:lineRule="exact"/>
        <w:rPr>
          <w:rFonts w:ascii="Times New Roman" w:cs="Times New Roman" w:eastAsia="Times New Roman" w:hAnsi="Times New Roman"/>
          <w:sz w:val="18"/>
          <w:szCs w:val="18"/>
          <w:color w:val="auto"/>
        </w:rPr>
      </w:pPr>
    </w:p>
    <w:p>
      <w:pPr>
        <w:jc w:val="both"/>
        <w:ind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$50.0 million in any fiscal year or (B) 75.0% of our consolidated net income for the previous four consecutive published fiscal quarters prior to the date of the determination of such consolidated net income, and (ii) share repurchases over the life of the 2020 Senior Notes in an aggregate amount not to exceed $75.0 million.</w:t>
      </w:r>
    </w:p>
    <w:p>
      <w:pPr>
        <w:spacing w:after="0" w:line="186"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The limitation on indebtedness in the 2020 Senior Notes Indenture is only applicable at such time that the consolidated coverage ratio (as set forth in the 2020 Senior Notes Indenture) for us and our restricted subsidiaries is less than 3.00 to 1.00. In general, as set forth in the 2020 Senior Notes Indenture, the consolidated coverage ratio is determined by comparing our prior four quarters’ consolidated EBITDA (earnings before interest, taxes, depreciation, and amortization) to our consolidated interest expense. The carrying value of our 2020 Senior Notes as of July 31, 2019 approximated the fair value in considering Level 2 inputs within the hierarchy.</w:t>
      </w:r>
    </w:p>
    <w:p>
      <w:pPr>
        <w:spacing w:after="0" w:line="176"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The Credit Agreement for our credit facility contains financial covenants relating to maintaining maximum leverage and minimum debt service coverage. The 2020 Senior Notes Indenture contains a financial covenant relating to times interest earned.</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 At July 31, 2019, we had outstanding letters of credit aggregating $1.0 million.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w:t>
      </w:r>
    </w:p>
    <w:p>
      <w:pPr>
        <w:spacing w:after="0" w:line="119" w:lineRule="exact"/>
        <w:rPr>
          <w:sz w:val="20"/>
          <w:szCs w:val="20"/>
          <w:color w:val="auto"/>
        </w:rPr>
      </w:pPr>
    </w:p>
    <w:p>
      <w:pPr>
        <w:ind w:right="60" w:firstLine="518"/>
        <w:spacing w:after="0" w:line="257" w:lineRule="auto"/>
        <w:rPr>
          <w:sz w:val="20"/>
          <w:szCs w:val="20"/>
          <w:color w:val="auto"/>
        </w:rPr>
      </w:pPr>
      <w:r>
        <w:rPr>
          <w:rFonts w:ascii="Times New Roman" w:cs="Times New Roman" w:eastAsia="Times New Roman" w:hAnsi="Times New Roman"/>
          <w:sz w:val="18"/>
          <w:szCs w:val="18"/>
          <w:color w:val="auto"/>
        </w:rPr>
        <w:t xml:space="preserve">We follow the provisions of ASC 820-10, </w:t>
      </w:r>
      <w:r>
        <w:rPr>
          <w:rFonts w:ascii="Times New Roman" w:cs="Times New Roman" w:eastAsia="Times New Roman" w:hAnsi="Times New Roman"/>
          <w:sz w:val="18"/>
          <w:szCs w:val="18"/>
          <w:i w:val="1"/>
          <w:iCs w:val="1"/>
          <w:color w:val="auto"/>
        </w:rPr>
        <w:t>Fair Value Measurements and Disclosures Topic</w:t>
      </w:r>
      <w:r>
        <w:rPr>
          <w:rFonts w:ascii="Times New Roman" w:cs="Times New Roman" w:eastAsia="Times New Roman" w:hAnsi="Times New Roman"/>
          <w:sz w:val="18"/>
          <w:szCs w:val="18"/>
          <w:color w:val="auto"/>
        </w:rPr>
        <w:t>, or ASC 820-10, for our financial assets and liabilities.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4" w:name="page15"/>
    <w:bookmarkEnd w:id="1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Months Ended July 31, 2019 and 2018</w:t>
      </w:r>
    </w:p>
    <w:p>
      <w:pPr>
        <w:spacing w:after="0" w:line="202"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recorded on the accompanying condensed consolidated balance sheets are categorized based on the inputs to the valuation techniques as follows:</w:t>
      </w:r>
    </w:p>
    <w:p>
      <w:pPr>
        <w:spacing w:after="0" w:line="160" w:lineRule="exact"/>
        <w:rPr>
          <w:sz w:val="20"/>
          <w:szCs w:val="20"/>
          <w:color w:val="auto"/>
        </w:rPr>
      </w:pPr>
    </w:p>
    <w:p>
      <w:pPr>
        <w:ind w:right="12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Financial assets and liabilities whose values are based on unadjusted quoted prices for identical assets or liabilities in an active market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the ability to access at the measurement date (examples include active exchange-traded equity securities, listed derivatives, and most U.S. Government and agency securities).</w:t>
      </w:r>
    </w:p>
    <w:p>
      <w:pPr>
        <w:spacing w:after="0" w:line="176"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Our cash and cash equivalents, which are measured at fair value on a recurring basis, totaled $30.7 million and $41.0 million as of July 31, 2019 and April 30, 2019, respectively. We utilized Level 1 of the value hierarchy to determine the fair values of these assets.</w:t>
      </w:r>
    </w:p>
    <w:p>
      <w:pPr>
        <w:spacing w:after="0" w:line="160" w:lineRule="exact"/>
        <w:rPr>
          <w:sz w:val="20"/>
          <w:szCs w:val="20"/>
          <w:color w:val="auto"/>
        </w:rPr>
      </w:pPr>
    </w:p>
    <w:p>
      <w:pPr>
        <w:ind w:right="4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Financial assets and liabilities whose values are based on quoted prices in markets in which trading occurs infrequently or whose values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quoted prices of instruments with similar attributes in active markets. Level 2 inputs include the following:</w:t>
      </w:r>
    </w:p>
    <w:p>
      <w:pPr>
        <w:spacing w:after="0" w:line="52"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(such as corporate and municipal bonds which trade infrequently);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substantially the full term of the asset or liability (such as interest rate and currency swaps); and</w:t>
      </w:r>
    </w:p>
    <w:p>
      <w:pPr>
        <w:spacing w:after="0" w:line="117" w:lineRule="exact"/>
        <w:rPr>
          <w:rFonts w:ascii="Times New Roman" w:cs="Times New Roman" w:eastAsia="Times New Roman" w:hAnsi="Times New Roman"/>
          <w:sz w:val="18"/>
          <w:szCs w:val="18"/>
          <w:color w:val="auto"/>
        </w:rPr>
      </w:pPr>
    </w:p>
    <w:p>
      <w:pPr>
        <w:ind w:left="380" w:right="140" w:hanging="372"/>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for substantially the full term of the asset or liability (such as certain securities and derivatives).</w:t>
      </w:r>
    </w:p>
    <w:p>
      <w:pPr>
        <w:spacing w:after="0" w:line="162"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 xml:space="preserve">The carrying value of our Term Loan approximated the fair value as of July 31, 2019 in considering Level 2 inputs within the hierarchy. The carrying value of our 2020 Senior Notes as of July 31, 2019 approximated the fair value in considering Level 2 inputs within the hierarchy as our 2020 Senior Notes are not frequently traded. The fair value of our interest rate swap was estimated by a third-party using inputs that are observable or that can be corroborated by observable market data, such as interest rate yield curves, and, therefore, is classified within Level 2 of the valuation hierarchy. For more information regarding the interest rate swap, refer to Note 6 — </w:t>
      </w:r>
      <w:r>
        <w:rPr>
          <w:rFonts w:ascii="Times New Roman" w:cs="Times New Roman" w:eastAsia="Times New Roman" w:hAnsi="Times New Roman"/>
          <w:sz w:val="18"/>
          <w:szCs w:val="18"/>
          <w:i w:val="1"/>
          <w:iCs w:val="1"/>
          <w:color w:val="auto"/>
        </w:rPr>
        <w:t>Notes, Loans Payable, and Financing Arrangements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18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Financial assets and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reflect our assumptions about the assumptions a market participant would use in pricing the asset or liability.</w:t>
      </w:r>
    </w:p>
    <w:p>
      <w:pPr>
        <w:spacing w:after="0" w:line="176" w:lineRule="exact"/>
        <w:rPr>
          <w:sz w:val="20"/>
          <w:szCs w:val="20"/>
          <w:color w:val="auto"/>
        </w:rPr>
      </w:pPr>
    </w:p>
    <w:p>
      <w:pPr>
        <w:jc w:val="both"/>
        <w:ind w:right="200" w:firstLine="518"/>
        <w:spacing w:after="0" w:line="266" w:lineRule="auto"/>
        <w:rPr>
          <w:sz w:val="20"/>
          <w:szCs w:val="20"/>
          <w:color w:val="auto"/>
        </w:rPr>
      </w:pPr>
      <w:r>
        <w:rPr>
          <w:rFonts w:ascii="Times New Roman" w:cs="Times New Roman" w:eastAsia="Times New Roman" w:hAnsi="Times New Roman"/>
          <w:sz w:val="18"/>
          <w:szCs w:val="18"/>
          <w:color w:val="auto"/>
        </w:rPr>
        <w:t>The acquisition-related contingent consideration liability represents the estimated fair value of additional future earn-outs payable for acquisitions of businesses that included earn-out clauses. The valuation of the contingent consideration will be evaluated on an ongoing basis and is based on management estimates and entity-specific assumptions, which are considered Level 3 inputs.</w:t>
      </w:r>
    </w:p>
    <w:p>
      <w:pPr>
        <w:spacing w:after="0" w:line="176"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Gemtech acquisition, up to a maximum of $17.1 million may be paid contingent upon the cumulative three-year sales volume of Gemtech products. The valuation of this contingent consideration liability was established in accordance with ASC 805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Based on current forecasted revenue, we believe it is unlikely that the acquired business will achieve the performance metrics. Therefore, as of July 31, 2019, the contingent liability was recorded at a fair value of $100,000 in non-current liabilities.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Inventories:</w:t>
      </w:r>
    </w:p>
    <w:p>
      <w:pPr>
        <w:spacing w:after="0" w:line="121"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inventories, net of reserves, stated at lower of cost or net realizable value, as of July 31, 2019 and April 30, 2018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30, 2019</w:t>
            </w: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4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134,874</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Finished parts</w:t>
            </w:r>
          </w:p>
        </w:tc>
        <w:tc>
          <w:tcPr>
            <w:tcW w:w="4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4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44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44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195,448</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163,770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44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2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5" w:name="page16"/>
    <w:bookmarkEnd w:id="1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Months Ended July 31, 2019 and 2018</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ind w:right="400" w:firstLine="518"/>
        <w:spacing w:after="0" w:line="313" w:lineRule="auto"/>
        <w:rPr>
          <w:sz w:val="20"/>
          <w:szCs w:val="20"/>
          <w:color w:val="auto"/>
        </w:rPr>
      </w:pPr>
      <w:r>
        <w:rPr>
          <w:rFonts w:ascii="Times New Roman" w:cs="Times New Roman" w:eastAsia="Times New Roman" w:hAnsi="Times New Roman"/>
          <w:sz w:val="17"/>
          <w:szCs w:val="17"/>
          <w:color w:val="auto"/>
        </w:rPr>
        <w:t>The following table provides a reconciliation of the net (loss)/income amounts and weighted average number of common and common equivalent shares used to determine basic and diluted earnings per share for the three months ended July 31, 2019 and 2018 (in thousands,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 Ended July 31,</w:t>
            </w: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5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2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2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4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b w:val="1"/>
                <w:bCs w:val="1"/>
                <w:color w:val="auto"/>
              </w:rPr>
              <w:t>Net</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63"/>
              <w:spacing w:after="0" w:line="145"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Net</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83"/>
              <w:spacing w:after="0" w:line="145"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2"/>
                <w:szCs w:val="12"/>
                <w:color w:val="auto"/>
              </w:rPr>
            </w:pPr>
          </w:p>
        </w:tc>
      </w:tr>
      <w:tr>
        <w:trPr>
          <w:trHeight w:val="173"/>
        </w:trPr>
        <w:tc>
          <w:tcPr>
            <w:tcW w:w="4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8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4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earnings</w:t>
            </w: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2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54,783</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7,645</w:t>
            </w: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54,345</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Effect of dilutive stock awards</w:t>
            </w:r>
          </w:p>
        </w:tc>
        <w:tc>
          <w:tcPr>
            <w:tcW w:w="2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earnings</w:t>
            </w:r>
          </w:p>
        </w:tc>
        <w:tc>
          <w:tcPr>
            <w:tcW w:w="2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54,783</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7,645</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54,931</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All our outstanding stock options and restricted stock units, or RSUs, were included in the computation of diluted earnings per share for the three months ended July 31, 2019 and 2018.</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Stock and Employee Stock Purchase Plans</w:t>
      </w:r>
    </w:p>
    <w:p>
      <w:pPr>
        <w:spacing w:after="0" w:line="119"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We have two incentive stock plans: the 2004 Incentive Stock Plan and the 2013 Incentive Stock Plan. New grants under the 2004 Incentive Stock Plan have not been made since the approval of the 2013 Incentive Stock Plan at our September 23, 2013 annual meeting of stockholders. All new grants covering all participants are issued under the 2013 Incentive Stock Plan. Except in specific circumstances, grants vest over a period of three or four years and stock options are exercisable for a period of 10 years from the date of grant. The plan also permits the grant of awards to non-employees, which our board of directors has authorized in the past.</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number of shares and weighted average exercise prices of stock options for the three months ended July 31, 2019 and 2018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Three Months Ended July 31,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148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Borders>
              <w:bottom w:val="single" w:sz="8" w:color="auto"/>
            </w:tcBorders>
            <w:gridSpan w:val="4"/>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9"/>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8"/>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11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beginning of year</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267,761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316,160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end of period</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267,761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298,761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years</w:t>
            </w:r>
          </w:p>
        </w:tc>
        <w:tc>
          <w:tcPr>
            <w:tcW w:w="2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CFF0FC"/>
            </w:tcBorders>
          </w:tcPr>
          <w:p>
            <w:pPr>
              <w:spacing w:after="0"/>
              <w:rPr>
                <w:sz w:val="21"/>
                <w:szCs w:val="21"/>
                <w:color w:val="auto"/>
              </w:rPr>
            </w:pPr>
          </w:p>
        </w:tc>
        <w:tc>
          <w:tcPr>
            <w:tcW w:w="1060" w:type="dxa"/>
            <w:vAlign w:val="bottom"/>
            <w:tcBorders>
              <w:top w:val="single" w:sz="8" w:color="auto"/>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 years</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CFF0FC"/>
            </w:tcBorders>
          </w:tcPr>
          <w:p>
            <w:pPr>
              <w:spacing w:after="0"/>
              <w:rPr>
                <w:sz w:val="21"/>
                <w:szCs w:val="21"/>
                <w:color w:val="auto"/>
              </w:rPr>
            </w:pPr>
          </w:p>
        </w:tc>
        <w:tc>
          <w:tcPr>
            <w:tcW w:w="1060" w:type="dxa"/>
            <w:vAlign w:val="bottom"/>
            <w:tcBorders>
              <w:top w:val="single" w:sz="8" w:color="auto"/>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end of period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267,761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298,761</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years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 years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80" w:firstLine="518"/>
        <w:spacing w:after="0" w:line="289" w:lineRule="auto"/>
        <w:rPr>
          <w:sz w:val="20"/>
          <w:szCs w:val="20"/>
          <w:color w:val="auto"/>
        </w:rPr>
      </w:pPr>
      <w:r>
        <w:rPr>
          <w:rFonts w:ascii="Times New Roman" w:cs="Times New Roman" w:eastAsia="Times New Roman" w:hAnsi="Times New Roman"/>
          <w:sz w:val="17"/>
          <w:szCs w:val="17"/>
          <w:color w:val="auto"/>
        </w:rPr>
        <w:t>The aggregate intrinsic value of outstanding and exercisable stock options as of July 31, 2019 and 2018 was $770,000 and $853,000, respectively. There were no stock options exercised in the three months ended July 31, 2019. The aggregate intrinsic value of the stock options exercised in the three months ended July 31, 2018 was $76,000. At July 31, 2019, there was no unrecognized compensation expense relating to outstanding stock options.</w:t>
      </w:r>
    </w:p>
    <w:p>
      <w:pPr>
        <w:spacing w:after="0" w:line="158"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We have an Employee Stock Purchase Plan, or ESPP, in which each participant is granted an option to purchase our common stock on each subsequent exercise date during the offering period (as such terms are defined in the ESPP) in accordance with the terms of the ESPP.</w:t>
      </w:r>
    </w:p>
    <w:p>
      <w:pPr>
        <w:spacing w:after="0" w:line="162" w:lineRule="exact"/>
        <w:rPr>
          <w:sz w:val="20"/>
          <w:szCs w:val="20"/>
          <w:color w:val="auto"/>
        </w:rPr>
      </w:pPr>
    </w:p>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The total stock-based compensation expense, including stock options, purchases under our ESPP, RSUs, and performance-based RSUs, or PSUs, was $1.6 million and $2.0 million for the nine months ended July 31, 2019 and 2018, respectively. Stock-based compensation expense is included in cost of sales, sales and marketing, research and development, and general and administrative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6" w:name="page17"/>
    <w:bookmarkEnd w:id="1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Months Ended July 31, 2019 and 2018</w:t>
      </w:r>
    </w:p>
    <w:p>
      <w:pPr>
        <w:spacing w:after="0" w:line="200" w:lineRule="exact"/>
        <w:rPr>
          <w:sz w:val="20"/>
          <w:szCs w:val="20"/>
          <w:color w:val="auto"/>
        </w:rPr>
      </w:pPr>
    </w:p>
    <w:p>
      <w:pPr>
        <w:spacing w:after="0" w:line="218"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We grant service-based RSUs to employees and directors. The awards are made at no cost to the recipient. An RSU represents the right to receive one share of our common stock and does not carry voting or dividend rights. Except in specific circumstances, RSU grants to employees vest over a period of four years with one-fourth of the units vesting on each anniversary of the grant date. The aggregate fair value of our RSU grants is amortized to compensation expense over the vesting period.</w:t>
      </w:r>
    </w:p>
    <w:p>
      <w:pPr>
        <w:spacing w:after="0" w:line="180"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We grant PSUs to our executive officers and certain management employees who are not executive officers. The PSUs vest, and the fair value of such PSUs will be recognized, over the corresponding three-year performance period.</w:t>
      </w:r>
    </w:p>
    <w:p>
      <w:pPr>
        <w:spacing w:after="0" w:line="162"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During the three months ended July 31, 2019, we granted an aggregate of 131,771 service-based RSUs to non-executive officer employees. Compensation expense related to grants of RSUs and PSUs was $1.4 million for the three months ended July 31, 2019. During the three months ended July 31, 2019, we cancelled 123,025 PSUs as a result of the performance metric not being met and 15,805 service-based RSUs as a result of the service condition not being met. In connection with the vesting of RSUs, during the three months ended July 31, 2019, we delivered common stock to our employees, including our executive officers, with a total market value of $1.7 million.</w:t>
      </w:r>
    </w:p>
    <w:p>
      <w:pPr>
        <w:spacing w:after="0" w:line="184"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During the three months ended July 31, 2018, we granted an aggregate of 140,771 service-based RSUs to non-executive officer employees. Compensation expense related to grants of RSUs and PSUs was $1.8 million for the three months ended July 31, 2018. During the three months ended July 31, 2018, we cancelled 112,000 PSUs as a result of the performance metric not being met and 6,180 service-based RSUs as a result of the service condition not being met. In connection with the vesting of RSUs, during the three months ended July 31, 2018, we delivered common stock to our employees, including our executive officers with a total market value of $1.7 million.</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activity for unvested RSUs and PSUs for the three months ended July 31, 2019 and 2018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Three Months Ended July 31,</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960" w:type="dxa"/>
            <w:vAlign w:val="bottom"/>
          </w:tcPr>
          <w:p>
            <w:pPr>
              <w:spacing w:after="0"/>
              <w:rPr>
                <w:sz w:val="13"/>
                <w:szCs w:val="13"/>
                <w:color w:val="auto"/>
              </w:rPr>
            </w:pPr>
          </w:p>
        </w:tc>
        <w:tc>
          <w:tcPr>
            <w:tcW w:w="148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Borders>
              <w:bottom w:val="single" w:sz="8" w:color="auto"/>
            </w:tcBorders>
            <w:gridSpan w:val="4"/>
          </w:tcPr>
          <w:p>
            <w:pPr>
              <w:jc w:val="right"/>
              <w:ind w:right="5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9"/>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8"/>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r>
      <w:tr>
        <w:trPr>
          <w:trHeight w:val="162"/>
        </w:trPr>
        <w:tc>
          <w:tcPr>
            <w:tcW w:w="59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Total #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59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3"/>
        </w:trPr>
        <w:tc>
          <w:tcPr>
            <w:tcW w:w="59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05"/>
        </w:trPr>
        <w:tc>
          <w:tcPr>
            <w:tcW w:w="596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RSUs and PSUs outstanding, beginning of</w:t>
            </w: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period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1,631,631</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1,442,316</w:t>
            </w:r>
          </w:p>
        </w:tc>
        <w:tc>
          <w:tcPr>
            <w:tcW w:w="1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FF0FC"/>
          </w:tcPr>
          <w:p>
            <w:pPr>
              <w:spacing w:after="0"/>
              <w:rPr>
                <w:sz w:val="20"/>
                <w:szCs w:val="20"/>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Awarded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131,771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(182,900)</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(146,523)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(138,830)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(118,180)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and PSUs outstanding, end of period</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1,441,672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1,318,384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As of July 31, 2019, there was $7.3 million of unrecognized compensation expense related to unvested RSUs and PSUs. This expense is expected to be recognized over a weighted average remaining contractual term of 1.8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 xml:space="preserve">In January 2018, Gemini Technologies, Incorporated, or Gemini, commenced an action against us and Smith &amp; Wesson Corp. in the United States District Court for the District of Idaho, or the District Court. The complaint alleges, among other things, that the defendants breached the earn-out and other provisions of the Asset Purchase Agreement and ancillary agreements between the parties in connection with Smith &amp; Wesson Corp.’s acquisition of the Gemtech business from Gemini. The complaint seeks a declaratory judgment interpreting various terms of the Asset Purchase Agreement and damages in the sum of $18.6 million. In May 2018, the District Court dismissed the complaint on the grounds of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In June 2018, Gemini appealed the decision dismissing its complaint to the U.S. Court of Appeals for the Ninth Circuit. On July 24, 2019, the Ninth Circuit reversed the dismissal, and remanded the case to the District Court to perform a traditional forum non conveniens analysis. We believe the claims asserted in the complaint have no merit, and we intend to aggressively defend this action.</w:t>
      </w:r>
    </w:p>
    <w:p>
      <w:pPr>
        <w:spacing w:after="0" w:line="185"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We are a defendant in eight product liability cases and are aware of six other product liability claims, primarily alleging defective product design, defective manufacturing, or failure to provide adequate warnings. In addition, we are a co-defendant in 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7" w:name="page18"/>
    <w:bookmarkEnd w:id="1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Months Ended July 31, 2019 and 2018</w:t>
      </w:r>
    </w:p>
    <w:p>
      <w:pPr>
        <w:spacing w:after="0" w:line="200" w:lineRule="exact"/>
        <w:rPr>
          <w:sz w:val="20"/>
          <w:szCs w:val="20"/>
          <w:color w:val="auto"/>
        </w:rPr>
      </w:pPr>
    </w:p>
    <w:p>
      <w:pPr>
        <w:spacing w:after="0" w:line="21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case filed on August 27, 1999 by the city of Gary, Indiana against numerous firearm manufacturers, distributors, and dealers seeking to recover monetary damages, as well as injunctive relief, allegedly arising out of the misuse of firearms by third parties. In January 2018, the trial court granted defendants’ Motion for Judgment on the Pleadings, dismissing the case in its entirety. In February 2018, plaintiffs appealed the dismissal to the Indiana Court of Appeals. On May 23, 2019, the Indiana Court of Appeals issued a decision, which affirmed in part and reversed in part and remanded for further proceedings, the trial court’s dismissal of the City’s complaint. On July 8, 2019, defendants filed a Petition to Transfer jurisdiction to the Indiana Supreme Court. A decision has not yet been issued by the court.</w:t>
      </w:r>
    </w:p>
    <w:p>
      <w:pPr>
        <w:spacing w:after="0" w:line="188"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In May 2018, we were named in an action related to the Parkland, Florida shooting, filed in the Circuit Court, Broward County, Florida, seeking a declaratory judgment that a Florida statute that provides firearm manufacturers and dealers immunity from liability when their legally manufactured and lawfully sold firearms are later used in criminal acts only applies to civil actions commenced by governmental agencies not private litigants. In August 2018, we moved to dismiss the complaint on the grounds that it seeks an impermissible advisory opinion. On December 6, 2018, the court granted defendants’ motion to dismiss without prejudice and granted plaintiffs leave to amend their complaint. On December 10, 2018, plaintiffs filed a Second Amended Complaint for Declaratory Relief. On December 13, 2018, defendants filed a Motion to Dismiss Plaintiffs’ Second Amended Complaint. A hearing was held on defendants’ second motion to dismiss on December 17, 2018. A decision has not yet been issued by the court.</w:t>
      </w:r>
    </w:p>
    <w:p>
      <w:pPr>
        <w:spacing w:after="0" w:line="189"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On July 31, 2019, our competitor, Sturm, Ruger &amp; Co., Inc., filed a complaint and motion for preliminary injunction against us in the United States District Court, District of New Hampshire, seeking injunctive relief and damages. Plaintiff alleges trade dress infringement, involving our Thompson/Center brand T/CR22 rifle, as well as violation of the New Hampshire Consumer Protection Act.</w:t>
      </w:r>
    </w:p>
    <w:p>
      <w:pPr>
        <w:spacing w:after="0" w:line="17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Subsequent to July 31, 2019, in August 2019, Primus Group, LLC filed an action in the United States District Court for the Southern District of Ohio Eastern Division against Smith &amp; Wesson Corp. and other firearms manufacturers, alleging Racketeer Influenced Corrupt Organizations Act (RICO) violations, racketeering enterprise, and intentional misrepresentation. Plaintiff, who operates as an “entertainment venue” in Columbus, Ohio, purports to bring this action on behalf of “[a]ll persons entitled to freely attend schools, shopping locations, churches, entertainment venues, and workplaces in the United States without the intrusion of individuals armed with assault weapons.” In addition to compensatory and punitive damages, plaintiff seeks preliminary and permanent injunctive relief enjoining the distribution and sale of “assault weapons.” On August 20, 2019, the court denied without prejudice plaintiff’s Motion for Temporary Restraining Order. Defendants’ dispositive motions are due on September 3, 2019. The court will hold a hearing on plaintiff’s Preliminary Injunction on October 15, 2019.</w:t>
      </w:r>
    </w:p>
    <w:p>
      <w:pPr>
        <w:spacing w:after="0" w:line="185"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We believe that the various allegations as described above are unfounded, and, in addition, that any incident and any results from them or any injuries were due to negligence or misuse of the firearm by the claimant or a third party.</w:t>
      </w:r>
    </w:p>
    <w:p>
      <w:pPr>
        <w:spacing w:after="0" w:line="162" w:lineRule="exact"/>
        <w:rPr>
          <w:sz w:val="20"/>
          <w:szCs w:val="20"/>
          <w:color w:val="auto"/>
        </w:rPr>
      </w:pPr>
    </w:p>
    <w:p>
      <w:pPr>
        <w:ind w:right="640" w:firstLine="518"/>
        <w:spacing w:after="0" w:line="282" w:lineRule="auto"/>
        <w:rPr>
          <w:sz w:val="20"/>
          <w:szCs w:val="20"/>
          <w:color w:val="auto"/>
        </w:rPr>
      </w:pPr>
      <w:r>
        <w:rPr>
          <w:rFonts w:ascii="Times New Roman" w:cs="Times New Roman" w:eastAsia="Times New Roman" w:hAnsi="Times New Roman"/>
          <w:sz w:val="18"/>
          <w:szCs w:val="18"/>
          <w:color w:val="auto"/>
        </w:rPr>
        <w:t>In addition, from time to time, we are involved in lawsuits, claims, investigations, and proceedings, including commercial, environmental, and employment matters, which arise in the ordinary course of business.</w:t>
      </w:r>
    </w:p>
    <w:p>
      <w:pPr>
        <w:spacing w:after="0" w:line="162" w:lineRule="exact"/>
        <w:rPr>
          <w:sz w:val="20"/>
          <w:szCs w:val="20"/>
          <w:color w:val="auto"/>
        </w:rPr>
      </w:pPr>
    </w:p>
    <w:p>
      <w:pPr>
        <w:ind w:right="20" w:firstLine="518"/>
        <w:spacing w:after="0" w:line="281" w:lineRule="auto"/>
        <w:rPr>
          <w:sz w:val="20"/>
          <w:szCs w:val="20"/>
          <w:color w:val="auto"/>
        </w:rPr>
      </w:pPr>
      <w:r>
        <w:rPr>
          <w:rFonts w:ascii="Times New Roman" w:cs="Times New Roman" w:eastAsia="Times New Roman" w:hAnsi="Times New Roman"/>
          <w:sz w:val="17"/>
          <w:szCs w:val="17"/>
          <w:color w:val="auto"/>
        </w:rPr>
        <w:t>The relief sought in individual cases primarily includes compensatory and, sometimes, punitive damages. Certain of the cases and claims seek unspecified compensatory or punitive damages. In others, compensatory damages sought may range from less than $75,000 to approximately $18.6 million. In our experience, initial demands do not generally bear a reasonable relationship to the facts and circumstances of a particular matter. We believe that our accruals for product liability cases and claims, as described below, are a reasonable quantitative measure of the cost to us of product liability cases and claims.</w:t>
      </w:r>
    </w:p>
    <w:p>
      <w:pPr>
        <w:spacing w:after="0" w:line="165" w:lineRule="exact"/>
        <w:rPr>
          <w:sz w:val="20"/>
          <w:szCs w:val="20"/>
          <w:color w:val="auto"/>
        </w:rPr>
      </w:pPr>
    </w:p>
    <w:p>
      <w:pPr>
        <w:ind w:right="580" w:firstLine="518"/>
        <w:spacing w:after="0" w:line="282" w:lineRule="auto"/>
        <w:rPr>
          <w:sz w:val="20"/>
          <w:szCs w:val="20"/>
          <w:color w:val="auto"/>
        </w:rPr>
      </w:pPr>
      <w:r>
        <w:rPr>
          <w:rFonts w:ascii="Times New Roman" w:cs="Times New Roman" w:eastAsia="Times New Roman" w:hAnsi="Times New Roman"/>
          <w:sz w:val="18"/>
          <w:szCs w:val="18"/>
          <w:color w:val="auto"/>
        </w:rPr>
        <w:t>We are vigorously defending ourselves in the lawsuits to which we are subject. An unfavorable outcome or prolonged litigation could harm our business. Litigation of this nature also is expensive, time consuming, and diverts the time and attention of our management.</w:t>
      </w:r>
    </w:p>
    <w:p>
      <w:pPr>
        <w:spacing w:after="0" w:line="162"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We monitor the status of known claims and the related product liability accrual, which includes amounts for defense costs for asserted and unasserted claims. After consultation with litigation counsel and a review of the merit of each claim, we have concluded that we are unable to reasonably estimate the probability or the estimated range of reasonably possible losses related to material adverse judgments related to such claims and, therefore, we have not accrued for any such judgments. In the future, should we determine that a loss (or an additional loss in excess of our accrual) is at least reasonably possible and material, we would then disclose an estimate of the possible loss or range of loss, if such estimate could be made, or disclose that an estimate could not be made. We believe that we have provided adequate accruals for defense costs.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8" w:name="page19"/>
    <w:bookmarkEnd w:id="1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Months Ended July 31, 2019 and 2018</w:t>
      </w:r>
    </w:p>
    <w:p>
      <w:pPr>
        <w:spacing w:after="0" w:line="200" w:lineRule="exact"/>
        <w:rPr>
          <w:sz w:val="20"/>
          <w:szCs w:val="20"/>
          <w:color w:val="auto"/>
        </w:rPr>
      </w:pPr>
    </w:p>
    <w:p>
      <w:pPr>
        <w:spacing w:after="0" w:line="218"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We have recorded our liability for defense costs before consideration for reimbursement from insurance carriers. We have also recorded the amount due as reimbursement under existing policies from the insurance carriers as a receivable shown in other current assets and other assets.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this time, an estimated range of reasonably possible additional losses relating to unfavorable outcomes cannot be made.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Reporting:</w:t>
      </w:r>
    </w:p>
    <w:p>
      <w:pPr>
        <w:spacing w:after="0" w:line="121" w:lineRule="exact"/>
        <w:rPr>
          <w:sz w:val="20"/>
          <w:szCs w:val="20"/>
          <w:color w:val="auto"/>
        </w:rPr>
      </w:pPr>
    </w:p>
    <w:p>
      <w:pPr>
        <w:ind w:right="260" w:firstLine="518"/>
        <w:spacing w:after="0" w:line="256" w:lineRule="auto"/>
        <w:rPr>
          <w:sz w:val="20"/>
          <w:szCs w:val="20"/>
          <w:color w:val="auto"/>
        </w:rPr>
      </w:pPr>
      <w:r>
        <w:rPr>
          <w:rFonts w:ascii="Times New Roman" w:cs="Times New Roman" w:eastAsia="Times New Roman" w:hAnsi="Times New Roman"/>
          <w:sz w:val="18"/>
          <w:szCs w:val="18"/>
          <w:color w:val="auto"/>
        </w:rPr>
        <w:t>We report our results of operations in two segments: (1) Firearms (which includes Firearms and Manufacturing Services divisions) and (2) Outdoor Products &amp; Accessories. Our two segments are defined based on the reporting and review process used by the chief operating decision maker, our Chief Executive Officer. The Firearms segment has been determined to be a single operating segment and reporting segment based on our reliance on production metrics, such as gross margin per unit produced, units produced per day, incoming orders per day, and revenue produced by trade channel, all of which are particular to the Firearms segment. The Outdoor Products &amp; Accessories segment is evaluated by a measurement of incoming orders per day and sales and gross margin by customer and brand.</w:t>
      </w:r>
    </w:p>
    <w:p>
      <w:pPr>
        <w:spacing w:after="0" w:line="188"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The Firearms segment includes our firearms, services, and other components, which we manufacture or provide at our facilities in Springfield, Massachusetts; Houlton, Maine; and Deep River, Connecticut, and our firearm products, which we develop, assemble, and market in our Springfield, Massachusetts facility. The Outdoor Products &amp; Accessories segment includes our accessories products, which we develop, source, market, and distribute at our facilities in Columbia, Missouri, and our electro-optics products, which we develop, market, and assemble in our Wilsonville, Oregon facility. We report operating costs based on the activities performed within each segment.</w:t>
      </w:r>
    </w:p>
    <w:p>
      <w:pPr>
        <w:spacing w:after="0" w:line="184"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Segment assets are those directly used in or clearly allocable to a reportable segment’s operations. Assets by business segment are presented in the following table as of July 31, 2019 and April 30, 2019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July 31, 2019</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April 30, 2019</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Outdoor</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Outdoor</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Firearms</w:t>
            </w:r>
          </w:p>
        </w:tc>
        <w:tc>
          <w:tcPr>
            <w:tcW w:w="2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Products &amp;</w:t>
            </w:r>
          </w:p>
        </w:tc>
        <w:tc>
          <w:tcPr>
            <w:tcW w:w="1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Firearms</w:t>
            </w:r>
          </w:p>
        </w:tc>
        <w:tc>
          <w:tcPr>
            <w:tcW w:w="2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Products &amp;</w:t>
            </w:r>
          </w:p>
        </w:tc>
        <w:tc>
          <w:tcPr>
            <w:tcW w:w="20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Accessories</w:t>
            </w: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Accessories</w:t>
            </w: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422,536</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349,919</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772,455</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389,719</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377,070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766,789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162,530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174,355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170,549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12,719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82,530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87,113</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87,179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163,243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182,267</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163,245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Results by business segment are presented in the following tables for the three months ended July 31, 2019 and 2018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9"/>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For the Three Months Ended July 31, 2019 (a)</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right"/>
              <w:ind w:right="560"/>
              <w:spacing w:after="0" w:line="131" w:lineRule="exact"/>
              <w:rPr>
                <w:sz w:val="20"/>
                <w:szCs w:val="20"/>
                <w:color w:val="auto"/>
              </w:rPr>
            </w:pPr>
            <w:r>
              <w:rPr>
                <w:rFonts w:ascii="Times New Roman" w:cs="Times New Roman" w:eastAsia="Times New Roman" w:hAnsi="Times New Roman"/>
                <w:sz w:val="14"/>
                <w:szCs w:val="14"/>
                <w:b w:val="1"/>
                <w:bCs w:val="1"/>
                <w:color w:val="auto"/>
              </w:rPr>
              <w:t>Outdoor</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Firearms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Products &amp;</w:t>
            </w:r>
          </w:p>
        </w:tc>
        <w:tc>
          <w:tcPr>
            <w:tcW w:w="140" w:type="dxa"/>
            <w:vAlign w:val="bottom"/>
          </w:tcPr>
          <w:p>
            <w:pPr>
              <w:spacing w:after="0"/>
              <w:rPr>
                <w:sz w:val="12"/>
                <w:szCs w:val="12"/>
                <w:color w:val="auto"/>
              </w:rPr>
            </w:pPr>
          </w:p>
        </w:tc>
        <w:tc>
          <w:tcPr>
            <w:tcW w:w="118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360" w:type="dxa"/>
            <w:vAlign w:val="bottom"/>
            <w:gridSpan w:val="3"/>
            <w:vMerge w:val="continue"/>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Accessories</w:t>
            </w:r>
          </w:p>
        </w:tc>
        <w:tc>
          <w:tcPr>
            <w:tcW w:w="14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94,555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29,110</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123,665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(4,988)</w:t>
            </w: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95,437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33,216</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123,665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60,039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19,143</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35,398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14,073</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(7,112)</w:t>
            </w: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(11,020)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(752)</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3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9" w:name="page20"/>
    <w:bookmarkEnd w:id="1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AMERICAN OUTDOORS BRANDS CORPORATION AND SUBSIDIARIES NOTES TO CONDENSED CONSOLIDATED FINANCIAL STATEMENTS (UNAUDITED) For the Three Months Ended July 31, 2019 and 2018</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10"/>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For the Three Months Ended July 31, 2018 (a)</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Outdoor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Firearms</w:t>
            </w:r>
          </w:p>
        </w:tc>
        <w:tc>
          <w:tcPr>
            <w:tcW w:w="10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Products &amp;</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360" w:type="dxa"/>
            <w:vAlign w:val="bottom"/>
            <w:gridSpan w:val="3"/>
            <w:vMerge w:val="continue"/>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Accessories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104,474</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34,359</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138,833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(3,681)</w:t>
            </w:r>
          </w:p>
        </w:tc>
        <w:tc>
          <w:tcPr>
            <w:tcW w:w="2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105,258</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37,256</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138,833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70,465</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20,374</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(10,552)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9690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45" w:lineRule="exact"/>
        <w:rPr>
          <w:sz w:val="20"/>
          <w:szCs w:val="20"/>
          <w:color w:val="auto"/>
        </w:rPr>
      </w:pPr>
    </w:p>
    <w:p>
      <w:pPr>
        <w:ind w:left="900" w:right="520" w:hanging="379"/>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allocate all of corporate overhead expenses except for interest and income taxes, such as general and administrative expenses and other corporate-level expenses, to both our Firearms and Outdoor Products &amp; Accessories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0" w:name="page21"/>
    <w:bookmarkEnd w:id="20"/>
    <w:p>
      <w:pPr>
        <w:ind w:right="41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jc w:val="both"/>
        <w:ind w:right="160" w:firstLine="518"/>
        <w:spacing w:after="0" w:line="266" w:lineRule="auto"/>
        <w:rPr>
          <w:sz w:val="20"/>
          <w:szCs w:val="20"/>
          <w:color w:val="auto"/>
        </w:rPr>
      </w:pPr>
      <w:r>
        <w:rPr>
          <w:rFonts w:ascii="Times New Roman" w:cs="Times New Roman" w:eastAsia="Times New Roman" w:hAnsi="Times New Roman"/>
          <w:sz w:val="18"/>
          <w:szCs w:val="18"/>
          <w:color w:val="auto"/>
        </w:rPr>
        <w:t>Please refer to the Management’s Discussion and Analysis of Financial Condition and Results of Operations in our Annual Report on Form 10-K for the fiscal year ended April 30, 2019 and our unaudited condensed consolidated financial statements included in Item 1 of this Quarterly Report on Form 10-Q. This section sets forth key objectives and performance indicators used by us as well as key industry data tracked by us.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report our results of operations in two segments: (1) Firearms and (2) Outdoor Products &amp; Accessories.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Fiscal 2020 Highlights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results for the three months ended July 31, 2019 included the following:</w:t>
      </w:r>
    </w:p>
    <w:p>
      <w:pPr>
        <w:spacing w:after="0" w:line="117" w:lineRule="exact"/>
        <w:rPr>
          <w:sz w:val="20"/>
          <w:szCs w:val="20"/>
          <w:color w:val="auto"/>
        </w:rPr>
      </w:pPr>
    </w:p>
    <w:p>
      <w:pPr>
        <w:ind w:left="1420" w:hanging="386"/>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net sales were $123.7 million, a decrease of $15.2 million, or 10.9%, from the comparable quarter last year.</w:t>
      </w:r>
    </w:p>
    <w:p>
      <w:pPr>
        <w:spacing w:after="0" w:line="117" w:lineRule="exact"/>
        <w:rPr>
          <w:rFonts w:ascii="Times New Roman" w:cs="Times New Roman" w:eastAsia="Times New Roman" w:hAnsi="Times New Roman"/>
          <w:sz w:val="18"/>
          <w:szCs w:val="18"/>
          <w:color w:val="auto"/>
        </w:rPr>
      </w:pPr>
    </w:p>
    <w:p>
      <w:pPr>
        <w:ind w:left="1420" w:right="80" w:hanging="386"/>
        <w:spacing w:after="0" w:line="266" w:lineRule="auto"/>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Firearms segment gross sales were $95.4 million, which included $882,000 of inter-segment revenue, a decrease of $9.8 million, or 9.3%, from the comparable quarter last year, primarily because of decreased demand and promotional activity for our modern sporting rifles, lower shipments and product mix of handguns, and increased inventory at distribution.</w:t>
      </w:r>
    </w:p>
    <w:p>
      <w:pPr>
        <w:spacing w:after="0" w:line="68" w:lineRule="exact"/>
        <w:rPr>
          <w:rFonts w:ascii="Times New Roman" w:cs="Times New Roman" w:eastAsia="Times New Roman" w:hAnsi="Times New Roman"/>
          <w:sz w:val="18"/>
          <w:szCs w:val="18"/>
          <w:color w:val="auto"/>
        </w:rPr>
      </w:pPr>
    </w:p>
    <w:p>
      <w:pPr>
        <w:ind w:left="1420" w:right="100" w:hanging="386"/>
        <w:spacing w:after="0" w:line="266" w:lineRule="auto"/>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Outdoor Products &amp; Accessories segment gross sales were $33.2 million, which included $4.1 million of inter-segment revenue, a decrease of $4.0 million, or 10.8%, from the comparable quarter last year, primarily from lower shooting, hunting accessory, and survival product sales.</w:t>
      </w:r>
    </w:p>
    <w:p>
      <w:pPr>
        <w:spacing w:after="0" w:line="68"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gross margin was 38.7%, an increase of 90 basis points over the comparable quarter last year.</w:t>
      </w:r>
    </w:p>
    <w:p>
      <w:pPr>
        <w:spacing w:after="0" w:line="117"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net loss was $2.1 million compared with net income of $7.6 million for the comparable quarter last year.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Net Sales and Gross Profit</w:t>
      </w:r>
    </w:p>
    <w:p>
      <w:pPr>
        <w:spacing w:after="0" w:line="121"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consolidated net sales and gross profit for the three months ended July 31, 2019 and 2018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123,665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138,833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(15,168)</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75,811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(10,600)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47,854</w:t>
            </w:r>
          </w:p>
        </w:tc>
        <w:tc>
          <w:tcPr>
            <w:tcW w:w="3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52,422</w:t>
            </w:r>
          </w:p>
        </w:tc>
        <w:tc>
          <w:tcPr>
            <w:tcW w:w="3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24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4"/>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38.7%</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37.8%</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Consolidated net sales decreased $15.2 million, or 10.9%, from the comparable quarter last year because of lower demand for revolvers and modern sporting rifles and a shift in product mix in our Firearms segment as well as lower shooting, hunting, and survival equipment sales in our Outdoor Products &amp; Accessories segment. Consolidated gross margin increased 90 basis points over the comparable quarter last year, primarily because of favorable inventory valuation adjustments and higher units produced that resulted in the corresponding favorable manufacturing fixed-cost absorption, partially offset by the impact of lower sales volumes, higher promotional product discounts, and higher manufacturing spending in our Firearms segment. Despite the lower gross margin in our Outdoor Products &amp; Accessories segment, this segment favorably impacted total consolidated gross margin by 160 basis points for the three months ended July 31, 2019.</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Firearms Segment Revenue and Gross Profit</w:t>
      </w:r>
    </w:p>
    <w:p>
      <w:pPr>
        <w:spacing w:after="0" w:line="121" w:lineRule="exact"/>
        <w:rPr>
          <w:sz w:val="20"/>
          <w:szCs w:val="20"/>
          <w:color w:val="auto"/>
        </w:rPr>
      </w:pPr>
    </w:p>
    <w:p>
      <w:pPr>
        <w:ind w:right="460" w:firstLine="470"/>
        <w:spacing w:after="0" w:line="282" w:lineRule="auto"/>
        <w:rPr>
          <w:sz w:val="20"/>
          <w:szCs w:val="20"/>
          <w:color w:val="auto"/>
        </w:rPr>
      </w:pPr>
      <w:r>
        <w:rPr>
          <w:rFonts w:ascii="Times New Roman" w:cs="Times New Roman" w:eastAsia="Times New Roman" w:hAnsi="Times New Roman"/>
          <w:sz w:val="18"/>
          <w:szCs w:val="18"/>
          <w:color w:val="auto"/>
        </w:rPr>
        <w:t>The following tables set forth certain information regarding Firearms revenue and gross profit for the three months ended July 31, 2019 and 2018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69,710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75,456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Long Guns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(4,912)</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Products &amp; Services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Total Firearms Revenue</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tcPr>
          <w:p>
            <w:pPr>
              <w:spacing w:after="0"/>
              <w:rPr>
                <w:sz w:val="19"/>
                <w:szCs w:val="19"/>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95,437</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105,258</w:t>
            </w:r>
          </w:p>
        </w:tc>
        <w:tc>
          <w:tcPr>
            <w:tcW w:w="3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240" w:type="dxa"/>
            <w:vAlign w:val="bottom"/>
            <w:vMerge w:val="continue"/>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60,039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70,465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(10,426)</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tcPr>
          <w:p>
            <w:pPr>
              <w:spacing w:after="0"/>
              <w:rPr>
                <w:sz w:val="19"/>
                <w:szCs w:val="19"/>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35,398</w:t>
            </w:r>
          </w:p>
        </w:tc>
        <w:tc>
          <w:tcPr>
            <w:tcW w:w="30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34,793</w:t>
            </w:r>
          </w:p>
        </w:tc>
        <w:tc>
          <w:tcPr>
            <w:tcW w:w="320" w:type="dxa"/>
            <w:vAlign w:val="bottom"/>
            <w:vMerge w:val="continue"/>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40" w:type="dxa"/>
            <w:vAlign w:val="bottom"/>
            <w:vMerge w:val="continue"/>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37.1%</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firearm units shipped by trade channel for the three months ended July 31, 2019 and 2018 (units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 Units Shipped</w:t>
            </w: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11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5"/>
                <w:szCs w:val="15"/>
                <w:color w:val="auto"/>
              </w:rPr>
            </w:pPr>
          </w:p>
        </w:tc>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7"/>
        </w:trPr>
        <w:tc>
          <w:tcPr>
            <w:tcW w:w="1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4660" w:type="dxa"/>
            <w:vAlign w:val="bottom"/>
            <w:tcBorders>
              <w:top w:val="single" w:sz="8" w:color="CFF0FC"/>
            </w:tcBorders>
            <w:gridSpan w:val="3"/>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w w:val="96"/>
              </w:rPr>
              <w:t>225</w:t>
            </w:r>
          </w:p>
        </w:tc>
        <w:tc>
          <w:tcPr>
            <w:tcW w:w="24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center"/>
              <w:ind w:left="36"/>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-5.1%</w:t>
            </w:r>
          </w:p>
        </w:tc>
        <w:tc>
          <w:tcPr>
            <w:tcW w:w="100" w:type="dxa"/>
            <w:vAlign w:val="bottom"/>
            <w:tcBorders>
              <w:top w:val="single" w:sz="8" w:color="CFF0FC"/>
            </w:tcBorders>
            <w:shd w:val="clear" w:color="auto" w:fill="CFF0FC"/>
          </w:tcPr>
          <w:p>
            <w:pPr>
              <w:spacing w:after="0"/>
              <w:rPr>
                <w:sz w:val="18"/>
                <w:szCs w:val="18"/>
                <w:color w:val="auto"/>
              </w:rPr>
            </w:pPr>
          </w:p>
        </w:tc>
      </w:tr>
      <w:tr>
        <w:trPr>
          <w:trHeight w:val="234"/>
        </w:trPr>
        <w:tc>
          <w:tcPr>
            <w:tcW w:w="5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0"/>
                <w:szCs w:val="20"/>
                <w:color w:val="auto"/>
              </w:rPr>
            </w:pPr>
          </w:p>
        </w:tc>
        <w:tc>
          <w:tcPr>
            <w:tcW w:w="118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spacing w:after="0"/>
              <w:rPr>
                <w:sz w:val="20"/>
                <w:szCs w:val="20"/>
                <w:color w:val="auto"/>
              </w:rPr>
            </w:pPr>
          </w:p>
        </w:tc>
        <w:tc>
          <w:tcPr>
            <w:tcW w:w="118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5"/>
              </w:rPr>
              <w:t>(6)</w:t>
            </w:r>
          </w:p>
        </w:tc>
        <w:tc>
          <w:tcPr>
            <w:tcW w:w="2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-9.1%</w:t>
            </w:r>
          </w:p>
        </w:tc>
        <w:tc>
          <w:tcPr>
            <w:tcW w:w="100" w:type="dxa"/>
            <w:vAlign w:val="bottom"/>
          </w:tcPr>
          <w:p>
            <w:pPr>
              <w:spacing w:after="0"/>
              <w:rPr>
                <w:sz w:val="20"/>
                <w:szCs w:val="20"/>
                <w:color w:val="auto"/>
              </w:rPr>
            </w:pPr>
          </w:p>
        </w:tc>
      </w:tr>
      <w:tr>
        <w:trPr>
          <w:trHeight w:val="434"/>
        </w:trPr>
        <w:tc>
          <w:tcPr>
            <w:tcW w:w="2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Sporting Goods Channel Units Shipped</w:t>
            </w:r>
          </w:p>
        </w:tc>
        <w:tc>
          <w:tcPr>
            <w:tcW w:w="3440" w:type="dxa"/>
            <w:vAlign w:val="bottom"/>
          </w:tcPr>
          <w:p>
            <w:pPr>
              <w:spacing w:after="0"/>
              <w:rPr>
                <w:sz w:val="24"/>
                <w:szCs w:val="24"/>
                <w:color w:val="auto"/>
              </w:rPr>
            </w:pP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24"/>
                <w:szCs w:val="24"/>
                <w:color w:val="auto"/>
              </w:rPr>
            </w:pPr>
          </w:p>
        </w:tc>
        <w:tc>
          <w:tcPr>
            <w:tcW w:w="11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24"/>
                <w:szCs w:val="24"/>
                <w:color w:val="auto"/>
              </w:rPr>
            </w:pPr>
          </w:p>
        </w:tc>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7"/>
        </w:trPr>
        <w:tc>
          <w:tcPr>
            <w:tcW w:w="5880" w:type="dxa"/>
            <w:vAlign w:val="bottom"/>
            <w:tcBorders>
              <w:top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16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w w:val="96"/>
              </w:rPr>
              <w:t>199</w:t>
            </w:r>
          </w:p>
        </w:tc>
        <w:tc>
          <w:tcPr>
            <w:tcW w:w="24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center"/>
              <w:ind w:left="36"/>
              <w:spacing w:after="0"/>
              <w:rPr>
                <w:sz w:val="20"/>
                <w:szCs w:val="20"/>
                <w:color w:val="auto"/>
              </w:rPr>
            </w:pPr>
            <w:r>
              <w:rPr>
                <w:rFonts w:ascii="Times New Roman" w:cs="Times New Roman" w:eastAsia="Times New Roman" w:hAnsi="Times New Roman"/>
                <w:sz w:val="18"/>
                <w:szCs w:val="18"/>
                <w:color w:val="auto"/>
                <w:w w:val="99"/>
              </w:rPr>
              <w:t>(15)</w:t>
            </w:r>
          </w:p>
        </w:tc>
        <w:tc>
          <w:tcPr>
            <w:tcW w:w="24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100" w:type="dxa"/>
            <w:vAlign w:val="bottom"/>
            <w:tcBorders>
              <w:top w:val="single" w:sz="8" w:color="CFF0FC"/>
            </w:tcBorders>
            <w:shd w:val="clear" w:color="auto" w:fill="CFF0FC"/>
          </w:tcPr>
          <w:p>
            <w:pPr>
              <w:spacing w:after="0"/>
              <w:rPr>
                <w:sz w:val="18"/>
                <w:szCs w:val="18"/>
                <w:color w:val="auto"/>
              </w:rPr>
            </w:pPr>
          </w:p>
        </w:tc>
      </w:tr>
      <w:tr>
        <w:trPr>
          <w:trHeight w:val="234"/>
        </w:trPr>
        <w:tc>
          <w:tcPr>
            <w:tcW w:w="5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20"/>
                <w:szCs w:val="20"/>
                <w:color w:val="auto"/>
              </w:rPr>
            </w:pPr>
          </w:p>
        </w:tc>
        <w:tc>
          <w:tcPr>
            <w:tcW w:w="118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20"/>
                <w:szCs w:val="20"/>
                <w:color w:val="auto"/>
              </w:rPr>
            </w:pPr>
          </w:p>
        </w:tc>
        <w:tc>
          <w:tcPr>
            <w:tcW w:w="118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5"/>
              </w:rPr>
              <w:t>(5)</w:t>
            </w:r>
          </w:p>
        </w:tc>
        <w:tc>
          <w:tcPr>
            <w:tcW w:w="2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-8.1%</w:t>
            </w:r>
          </w:p>
        </w:tc>
        <w:tc>
          <w:tcPr>
            <w:tcW w:w="100" w:type="dxa"/>
            <w:vAlign w:val="bottom"/>
          </w:tcPr>
          <w:p>
            <w:pPr>
              <w:spacing w:after="0"/>
              <w:rPr>
                <w:sz w:val="20"/>
                <w:szCs w:val="20"/>
                <w:color w:val="auto"/>
              </w:rPr>
            </w:pPr>
          </w:p>
        </w:tc>
      </w:tr>
      <w:tr>
        <w:trPr>
          <w:trHeight w:val="447"/>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Professional Channel Units Shipped</w:t>
            </w:r>
          </w:p>
        </w:tc>
        <w:tc>
          <w:tcPr>
            <w:tcW w:w="3660" w:type="dxa"/>
            <w:vAlign w:val="bottom"/>
            <w:gridSpan w:val="2"/>
          </w:tcPr>
          <w:p>
            <w:pPr>
              <w:spacing w:after="0"/>
              <w:rPr>
                <w:sz w:val="24"/>
                <w:szCs w:val="24"/>
                <w:color w:val="auto"/>
              </w:rPr>
            </w:pP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24"/>
                <w:szCs w:val="24"/>
                <w:color w:val="auto"/>
              </w:rPr>
            </w:pPr>
          </w:p>
        </w:tc>
        <w:tc>
          <w:tcPr>
            <w:tcW w:w="11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24"/>
                <w:szCs w:val="24"/>
                <w:color w:val="auto"/>
              </w:rPr>
            </w:pPr>
          </w:p>
        </w:tc>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7"/>
        </w:trPr>
        <w:tc>
          <w:tcPr>
            <w:tcW w:w="5880" w:type="dxa"/>
            <w:vAlign w:val="bottom"/>
            <w:tcBorders>
              <w:top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160" w:type="dxa"/>
            <w:vAlign w:val="bottom"/>
            <w:tcBorders>
              <w:top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13.0%</w:t>
            </w:r>
          </w:p>
        </w:tc>
        <w:tc>
          <w:tcPr>
            <w:tcW w:w="100" w:type="dxa"/>
            <w:vAlign w:val="bottom"/>
            <w:tcBorders>
              <w:top w:val="single" w:sz="8" w:color="CFF0FC"/>
            </w:tcBorders>
            <w:shd w:val="clear" w:color="auto" w:fill="CFF0FC"/>
          </w:tcPr>
          <w:p>
            <w:pPr>
              <w:spacing w:after="0"/>
              <w:rPr>
                <w:sz w:val="18"/>
                <w:szCs w:val="18"/>
                <w:color w:val="auto"/>
              </w:rPr>
            </w:pPr>
          </w:p>
        </w:tc>
      </w:tr>
      <w:tr>
        <w:trPr>
          <w:trHeight w:val="234"/>
        </w:trPr>
        <w:tc>
          <w:tcPr>
            <w:tcW w:w="5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1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18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tcPr>
          <w:p>
            <w:pPr>
              <w:spacing w:after="0"/>
              <w:rPr>
                <w:sz w:val="20"/>
                <w:szCs w:val="20"/>
                <w:color w:val="auto"/>
              </w:rPr>
            </w:pPr>
          </w:p>
        </w:tc>
        <w:tc>
          <w:tcPr>
            <w:tcW w:w="118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5"/>
              </w:rPr>
              <w:t>(1)</w:t>
            </w:r>
          </w:p>
        </w:tc>
        <w:tc>
          <w:tcPr>
            <w:tcW w:w="2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r>
    </w:tbl>
    <w:p>
      <w:pPr>
        <w:spacing w:after="0" w:line="220"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Revenue for our handguns decreased $5.7 million, or 7.6%, from the comparable quarter last year, primarily because of lower shipments of revolvers, M&amp;P branded polymer pistols, and large frame polymer pistols, partially offset by increased shipments for our Performance Center branded products. Revenue declined at a higher rate than unit shipments into the sporting goods consumer channel primarily because of a shift in mix to lower priced products. Although adjusted background checks for handguns reported to the National Instant Criminal Background Check Systems, or NICS, which is a proxy for overall consumer demand, increased 210 basis points compared with the comparable quarter last year, we believe our outperformance of adjusted NICS in the prior fiscal quarter and a continued increase in channel inventories during the current quarter likely negatively impacted orders and our quarterly results.</w:t>
      </w:r>
    </w:p>
    <w:p>
      <w:pPr>
        <w:spacing w:after="0" w:line="188"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Revenue for our long guns decreased $4.9 million, or 22.8%, from the comparable quarter last year, primarily because of product mix, lower demand, and reduced promotional programs for our M&amp;P branded Sport model modern sporting rifle.</w:t>
      </w:r>
    </w:p>
    <w:p>
      <w:pPr>
        <w:spacing w:after="0" w:line="162" w:lineRule="exact"/>
        <w:rPr>
          <w:sz w:val="20"/>
          <w:szCs w:val="20"/>
          <w:color w:val="auto"/>
        </w:rPr>
      </w:pPr>
    </w:p>
    <w:p>
      <w:pPr>
        <w:ind w:right="660" w:firstLine="518"/>
        <w:spacing w:after="0" w:line="282" w:lineRule="auto"/>
        <w:rPr>
          <w:sz w:val="20"/>
          <w:szCs w:val="20"/>
          <w:color w:val="auto"/>
        </w:rPr>
      </w:pPr>
      <w:r>
        <w:rPr>
          <w:rFonts w:ascii="Times New Roman" w:cs="Times New Roman" w:eastAsia="Times New Roman" w:hAnsi="Times New Roman"/>
          <w:sz w:val="18"/>
          <w:szCs w:val="18"/>
          <w:color w:val="auto"/>
        </w:rPr>
        <w:t>Other products and services revenue increased $837,000, or 10.1%, over the comparable quarter last year, primarily because of higher sales of component parts and handcuffs.</w:t>
      </w:r>
    </w:p>
    <w:p>
      <w:pPr>
        <w:spacing w:after="0" w:line="162"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New products in our Firearms segment, defined as any new SKU not shipped in the comparable quarter last year, represented 14.7% of firearm revenue for the three months ended July 31, 2019 and included many new product line extensions for our M&amp;P, Performance Center, and Thompson/Center Arms branded products. The decrease in the number of units sold unfavorably impacted firearm revenue by 7.7%.</w:t>
      </w:r>
    </w:p>
    <w:p>
      <w:pPr>
        <w:spacing w:after="0" w:line="176"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Gross margin for the three months ended July 31, 2019 for our Firearms segment increased by 4.0% over the comparable quarter last year, primarily because of favorable inventory valuation adjustments related to the release of year end manufacturing variance accruals, which were partially offset by increased standards related to material and labor cost increases, combined with improved manufacturing fixed cost absorption, which favorably impacted Firearms gross margin by 6.5%. Year-end manufacturing variances are amortized over the first inventory turn in the year following capitalization and can be favorable or unfavorable based upon a number of factors, including production levels, spending, raw material costs, and labor. The favorable impacts to Firearms gross margin were partially offset by unfavorable product mix, increased promotional product discounts, and higher manufacturing spending, which combined negatively impacted Firearms gross margin by 2.5%.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2" w:name="page23"/>
    <w:bookmarkEnd w:id="22"/>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As expected, our firearm inventory levels increased during the three months ended July 31, 2019 as a result of the preparation for the fall hunting and holiday seasons, a planned inventory build to reduce the risk of potential shipping disruptions when our national logistics facility in Boone County, Missouri, or our Missouri Campus, became fully operational as it pertains to firearm shipments during the three months ended July 31, 2019, and a build in inventory of our existing products in preparation for shifting capacity to new products when they launch. In addition, our quarter end inventory levels reflect an increase in orders related to our second quarter promotional programs and a buildup of specific product inventory in advance of shifting capacity over to new products prior to their launch. While inventory levels, both internally and in the distribution channel, in excess of demand may negatively impact future operating results, it is difficult to forecast the potential impact of distributor inventories on future revenue and income since demand is impacted by many factors, including seasonality, new product introductions, news events, political events, and consumer tastes.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Outdoor Products &amp; Accessories Segment Revenue and Gross Profit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Outdoor Products &amp; Accessories segment revenue for the three months ended July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and 2018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33,217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87"/>
              </w:rPr>
              <w:t>(4,039)</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(1,230)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14,073</w:t>
            </w:r>
          </w:p>
        </w:tc>
        <w:tc>
          <w:tcPr>
            <w:tcW w:w="3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16,882</w:t>
            </w:r>
          </w:p>
        </w:tc>
        <w:tc>
          <w:tcPr>
            <w:tcW w:w="3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87"/>
              </w:rPr>
              <w:t>(2,809)</w:t>
            </w:r>
          </w:p>
        </w:tc>
        <w:tc>
          <w:tcPr>
            <w:tcW w:w="24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4"/>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42.4%</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260" w:firstLine="518"/>
        <w:spacing w:after="0" w:line="258" w:lineRule="auto"/>
        <w:rPr>
          <w:sz w:val="20"/>
          <w:szCs w:val="20"/>
          <w:color w:val="auto"/>
        </w:rPr>
      </w:pPr>
      <w:r>
        <w:rPr>
          <w:rFonts w:ascii="Times New Roman" w:cs="Times New Roman" w:eastAsia="Times New Roman" w:hAnsi="Times New Roman"/>
          <w:sz w:val="18"/>
          <w:szCs w:val="18"/>
          <w:color w:val="auto"/>
        </w:rPr>
        <w:t>Revenue for our Outdoor Products &amp; Accessories segment for the three months ended July 31, 2019 decreased $4.0 million, or 10.8%, from the comparable quarter last year. Revenue decreased primarily as a result of the prioritization of firearm shipments over shipment of our outdoor products and accessories products from our Missouri campus combined with lower shooting and hunting accessory products and survival equipment sales to certain strategic retailers. The decline in revenue was partially offset by higher cutlery revenue that we believe was due to market acceptance for newly introduced products over the past several years and increased OEM and inorganic revenue in electro-optics.</w:t>
      </w:r>
    </w:p>
    <w:p>
      <w:pPr>
        <w:spacing w:after="0" w:line="184"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New products represented 20.6% of Outdoor Products &amp; Accessories segment revenue for the three months ended July 31, 2019 and included over 300 new products.</w:t>
      </w:r>
    </w:p>
    <w:p>
      <w:pPr>
        <w:spacing w:after="0" w:line="162"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Gross margin for the three months ended July 31, 2019 for our Outdoor Products &amp; Accessories segment decreased 2.9% from the comparable quarter last year, primarily because of changes in customer and channel mix with sales to certain strategic retailers that have discounted pricing. Gross margin was also negatively impacted because of higher tariff costs on imported goods.</w:t>
      </w:r>
    </w:p>
    <w:p>
      <w:pPr>
        <w:spacing w:after="0" w:line="176" w:lineRule="exact"/>
        <w:rPr>
          <w:sz w:val="20"/>
          <w:szCs w:val="20"/>
          <w:color w:val="auto"/>
        </w:rPr>
      </w:pPr>
    </w:p>
    <w:p>
      <w:pPr>
        <w:ind w:right="720" w:firstLine="518"/>
        <w:spacing w:after="0" w:line="282" w:lineRule="auto"/>
        <w:rPr>
          <w:sz w:val="20"/>
          <w:szCs w:val="20"/>
          <w:color w:val="auto"/>
        </w:rPr>
      </w:pPr>
      <w:r>
        <w:rPr>
          <w:rFonts w:ascii="Times New Roman" w:cs="Times New Roman" w:eastAsia="Times New Roman" w:hAnsi="Times New Roman"/>
          <w:sz w:val="18"/>
          <w:szCs w:val="18"/>
          <w:color w:val="auto"/>
        </w:rPr>
        <w:t>Our Outdoor Products &amp; Accessories inventory levels increased during the three months ended July 31, 2019, primarily because of a planned inventory build to support increased demand leading up to the holiday shopping season and increased purchasing to mitigate tariff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Expenses</w:t>
      </w:r>
    </w:p>
    <w:p>
      <w:pPr>
        <w:spacing w:after="0" w:line="121" w:lineRule="exact"/>
        <w:rPr>
          <w:sz w:val="20"/>
          <w:szCs w:val="20"/>
          <w:color w:val="auto"/>
        </w:rPr>
      </w:pPr>
    </w:p>
    <w:p>
      <w:pPr>
        <w:ind w:right="7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expenses for the three months ended July 31, 2019 and 2018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2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26,709</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vMerge w:val="continue"/>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46,711</w:t>
            </w:r>
          </w:p>
        </w:tc>
        <w:tc>
          <w:tcPr>
            <w:tcW w:w="320" w:type="dxa"/>
            <w:vAlign w:val="bottom"/>
            <w:vMerge w:val="continue"/>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38,946</w:t>
            </w:r>
          </w:p>
        </w:tc>
        <w:tc>
          <w:tcPr>
            <w:tcW w:w="320" w:type="dxa"/>
            <w:vAlign w:val="bottom"/>
            <w:vMerge w:val="continue"/>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7,765</w:t>
            </w:r>
          </w:p>
        </w:tc>
        <w:tc>
          <w:tcPr>
            <w:tcW w:w="240" w:type="dxa"/>
            <w:vAlign w:val="bottom"/>
            <w:vMerge w:val="continue"/>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37.8%</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$419,000 as a result of increased professional fees and new product development costs. Selling, marketing, and distribution expenses increased $5.2 million partially as a result of the start of our new distribution center during the first quarter of fiscal 2019, which included approximately $1.2 million of costs that would have been included in cost of sales in the prior comparable quarter as well as additional costs related to compensation and benefits, depreciation, property taxes, and security. In addition, increased co-op advertising expenses related to strategic customers, additional targeted customer promotions, and increases related to the development of our eCommerce initiative resulted in increased spending during the current quarter.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3" w:name="page24"/>
    <w:bookmarkEnd w:id="23"/>
    <w:p>
      <w:pPr>
        <w:ind w:right="2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$2.2 million primarily due to depreciation and compensation-related expenses related to our 633,000 square foot Missouri distribution center as well as increased professional fees and compensation-related expenses for non-distribution employees.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Income</w:t>
      </w:r>
    </w:p>
    <w:p>
      <w:pPr>
        <w:spacing w:after="0" w:line="121" w:lineRule="exact"/>
        <w:rPr>
          <w:sz w:val="20"/>
          <w:szCs w:val="20"/>
          <w:color w:val="auto"/>
        </w:rPr>
      </w:pPr>
    </w:p>
    <w:p>
      <w:pPr>
        <w:ind w:right="8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income for the three months ended July 31, 2019 and 2018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Borders>
              <w:bottom w:val="single" w:sz="8" w:color="CFF0FC"/>
            </w:tcBorders>
          </w:tcPr>
          <w:p>
            <w:pPr>
              <w:spacing w:after="0"/>
              <w:rPr>
                <w:sz w:val="15"/>
                <w:szCs w:val="15"/>
                <w:color w:val="auto"/>
              </w:rPr>
            </w:pPr>
          </w:p>
        </w:tc>
        <w:tc>
          <w:tcPr>
            <w:tcW w:w="150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tcBorders>
              <w:bottom w:val="single" w:sz="8" w:color="CFF0FC"/>
            </w:tcBorders>
          </w:tcPr>
          <w:p>
            <w:pPr>
              <w:spacing w:after="0"/>
              <w:rPr>
                <w:sz w:val="15"/>
                <w:szCs w:val="15"/>
                <w:color w:val="auto"/>
              </w:rPr>
            </w:pPr>
          </w:p>
        </w:tc>
      </w:tr>
      <w:tr>
        <w:trPr>
          <w:trHeight w:val="22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1,143</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-91.5%</w:t>
            </w:r>
          </w:p>
        </w:tc>
      </w:tr>
      <w:tr>
        <w:trPr>
          <w:trHeight w:val="234"/>
        </w:trPr>
        <w:tc>
          <w:tcPr>
            <w:tcW w:w="4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of net sales (operating margin)</w:t>
            </w:r>
          </w:p>
        </w:tc>
        <w:tc>
          <w:tcPr>
            <w:tcW w:w="1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spacing w:after="0" w:line="220" w:lineRule="exact"/>
        <w:rPr>
          <w:sz w:val="20"/>
          <w:szCs w:val="20"/>
          <w:color w:val="auto"/>
        </w:rPr>
      </w:pPr>
    </w:p>
    <w:p>
      <w:pPr>
        <w:ind w:right="320" w:firstLine="518"/>
        <w:spacing w:after="0" w:line="261" w:lineRule="auto"/>
        <w:rPr>
          <w:sz w:val="20"/>
          <w:szCs w:val="20"/>
          <w:color w:val="auto"/>
        </w:rPr>
      </w:pPr>
      <w:r>
        <w:rPr>
          <w:rFonts w:ascii="Times New Roman" w:cs="Times New Roman" w:eastAsia="Times New Roman" w:hAnsi="Times New Roman"/>
          <w:sz w:val="18"/>
          <w:szCs w:val="18"/>
          <w:color w:val="auto"/>
        </w:rPr>
        <w:t>Operating income for the three months ended July 31, 2019 was $1.1 million, a decrease of $12.3 million from the comparable quarter last year, primarily because of a combination of lower sales volumes, unfavorable product mix, increased promotional product discounts, higher manufacturing spending, increased compensation-related expenses, increased advertising expenses, increased depreciation expenses, and increased professional fees, partially offset by favorable inventory valuation adjustments, favorable manufacturing fixed cost absorption, and decreased stock compensation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Interest Expense</w:t>
      </w:r>
    </w:p>
    <w:p>
      <w:pPr>
        <w:spacing w:after="0" w:line="121" w:lineRule="exact"/>
        <w:rPr>
          <w:sz w:val="20"/>
          <w:szCs w:val="20"/>
          <w:color w:val="auto"/>
        </w:rPr>
      </w:pPr>
    </w:p>
    <w:p>
      <w:pPr>
        <w:ind w:right="920" w:firstLine="518"/>
        <w:spacing w:after="0" w:line="313"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interest expense for the three months ended July 31, 2019 and 2018 (dollars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tcBorders>
              <w:bottom w:val="single" w:sz="8" w:color="CFF0FC"/>
            </w:tcBorders>
          </w:tcPr>
          <w:p>
            <w:pPr>
              <w:spacing w:after="0"/>
              <w:rPr>
                <w:sz w:val="15"/>
                <w:szCs w:val="15"/>
                <w:color w:val="auto"/>
              </w:rPr>
            </w:pPr>
          </w:p>
        </w:tc>
      </w:tr>
      <w:tr>
        <w:trPr>
          <w:trHeight w:val="22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31.3%</w:t>
            </w:r>
          </w:p>
        </w:tc>
      </w:tr>
    </w:tbl>
    <w:p>
      <w:pPr>
        <w:spacing w:after="0" w:line="238"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2019, interest expense increased by $626,000 over the prior year comparable period as a result of increased interest on our capital lease for our Missouri Campus.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Income Taxes</w:t>
      </w:r>
    </w:p>
    <w:p>
      <w:pPr>
        <w:spacing w:after="0" w:line="121"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income tax expense/(benefit) for the three months ended July 31, 2019 and 2018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Borders>
              <w:bottom w:val="single" w:sz="8" w:color="CFF0FC"/>
            </w:tcBorders>
          </w:tcPr>
          <w:p>
            <w:pPr>
              <w:spacing w:after="0"/>
              <w:rPr>
                <w:sz w:val="15"/>
                <w:szCs w:val="15"/>
                <w:color w:val="auto"/>
              </w:rPr>
            </w:pPr>
          </w:p>
        </w:tc>
        <w:tc>
          <w:tcPr>
            <w:tcW w:w="96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tcBorders>
              <w:bottom w:val="single" w:sz="8" w:color="CFF0FC"/>
            </w:tcBorders>
          </w:tcPr>
          <w:p>
            <w:pPr>
              <w:spacing w:after="0"/>
              <w:rPr>
                <w:sz w:val="15"/>
                <w:szCs w:val="15"/>
                <w:color w:val="auto"/>
              </w:rPr>
            </w:pPr>
          </w:p>
        </w:tc>
      </w:tr>
      <w:tr>
        <w:trPr>
          <w:trHeight w:val="22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3,812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83.5%</w:t>
            </w:r>
          </w:p>
        </w:tc>
      </w:tr>
      <w:tr>
        <w:trPr>
          <w:trHeight w:val="234"/>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of income from operations (effective tax rate)</w:t>
            </w: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w:t>
            </w:r>
          </w:p>
        </w:tc>
        <w:tc>
          <w:tcPr>
            <w:tcW w:w="7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-75.8%</w:t>
            </w:r>
          </w:p>
        </w:tc>
      </w:tr>
    </w:tbl>
    <w:p>
      <w:pPr>
        <w:spacing w:after="0" w:line="233"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We recorded income tax expense of $629,000 for the three months ended July 31, 2019, versus income tax expense of $3.8 million for the prior year comparable period, primarily because of the tax effect of stock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Net (Loss)/Income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net income and the related per share data for the three months ended July 31,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(dollars in thousands, except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tcBorders>
              <w:bottom w:val="single" w:sz="8" w:color="CFF0FC"/>
            </w:tcBorders>
          </w:tcPr>
          <w:p>
            <w:pPr>
              <w:spacing w:after="0"/>
              <w:rPr>
                <w:sz w:val="15"/>
                <w:szCs w:val="15"/>
                <w:color w:val="auto"/>
              </w:rPr>
            </w:pPr>
          </w:p>
        </w:tc>
      </w:tr>
      <w:tr>
        <w:trPr>
          <w:trHeight w:val="22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(9,753)</w:t>
            </w: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-127.6%</w:t>
            </w: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(loss)/income per share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(0.18)</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-128.6%</w:t>
            </w:r>
          </w:p>
        </w:tc>
      </w:tr>
      <w:tr>
        <w:trPr>
          <w:trHeight w:val="234"/>
        </w:trPr>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4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(0.18)</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-128.6%</w:t>
            </w:r>
          </w:p>
        </w:tc>
      </w:tr>
    </w:tbl>
    <w:p>
      <w:pPr>
        <w:spacing w:after="0" w:line="220"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Net loss of $2.1 million for the three months ended July 31, 2019 was $9.7 million lower than net income of $7.6 million for the comparable quarter last year primarily because of a combination of lower sales volumes, unfavorable product mix, increased promotional product discounts, higher manufacturing spending, increased compensation-related expenses, increased advertising expenses, increased depreciation expenses, increased professional fees, and the unfavorable income tax effect of stock compensation,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partially offset by favorable inventory valuation adjustments, favorable manufacturing fixed cost absorption, and decreased stock compensation expenses.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Our principal cash requirements are to (1) finance the growth of our operations, including working capital and capital expenditures, (2) service our existing debt, and (3) fund any potential acquisitions. Capital expenditures for material handling equipment and other capital projects to support our national logistics facility, various information technology projects, and tooling for new product offerings represent important cash needs.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cash flow information for the three months ended July 31, 2019 and 2018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tcBorders>
              <w:bottom w:val="single" w:sz="8" w:color="CFF0F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(39,777)</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-373.9%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(3,818)</w:t>
            </w: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(3,290)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(27,153)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49,826</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-183.5%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Total cash flow</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vMerge w:val="continue"/>
          </w:tcPr>
          <w:p>
            <w:pPr>
              <w:spacing w:after="0"/>
              <w:rPr>
                <w:sz w:val="19"/>
                <w:szCs w:val="19"/>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24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(23,622)</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an annual basis, operating activities generally represent the principal source of our cash flow.</w:t>
      </w:r>
    </w:p>
    <w:p>
      <w:pPr>
        <w:spacing w:after="0" w:line="225"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Cash used in operating activities was $29.1 million for the three months ended July 31, 2019 compared with $10.6 million generated for the three months ended July 31, 2018. Cash used in operating activities for the three months ended July 31, 2019 was negatively impacted by $31.7 million of increased inventory as a result of the preparation for the fall hunting and holiday seasons, a planned inventory build to reduce the risk of potential shipping disruptions when our national logistics facility became fully operational as it pertained to firearm shipments during the first fiscal quarter, and a build in inventory of our existing products in preparation for shifting capacity to new products when they launch, $10.9 million of lower payroll and incentive accruals because of management incentive bonuses that were paid during the quarter, $6.7 million of decreased accrued expenses and deferred revenue, and $6.0 million of lower accounts payable due to timing of payments. These cash usages were partially offset by income before depreciation and amortization of $12.2 million and decreased accounts receivable of $14.0 million due to timing of shipments. Consistent with our seasonal inventory trends we expect firearms inventory to remain flat or slightly higher at the end of our second fiscal quarter as we prepare for our holiday and industry show seasons and for new product introductions. We expect Outdoor Products &amp; Accessories inventory to decline in our second fiscal quarter due to the holiday shopping season.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decreased $3.8 million for the three months ended July 31, 2019 from the prior year comparable period. We recorded capital expenditures of $3.7 million for the three months ended July 31, 2019, $3.2 million lower than the prior year comparable period. We currently expect to spend between $25.0 million and $30.0 million on capital expenditures in fiscal 2020, a decrease of $3.9 million to $8.9 million, as compared with $33.9 million in capital expenditures in fiscal 2019.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right="220" w:firstLine="518"/>
        <w:spacing w:after="0" w:line="289" w:lineRule="auto"/>
        <w:rPr>
          <w:sz w:val="20"/>
          <w:szCs w:val="20"/>
          <w:color w:val="auto"/>
        </w:rPr>
      </w:pPr>
      <w:r>
        <w:rPr>
          <w:rFonts w:ascii="Times New Roman" w:cs="Times New Roman" w:eastAsia="Times New Roman" w:hAnsi="Times New Roman"/>
          <w:sz w:val="17"/>
          <w:szCs w:val="17"/>
          <w:color w:val="auto"/>
        </w:rPr>
        <w:t>Cash provided by financing activities was $22.7 million for the three months ended July 31, 2019 compared with cash used in financing activities of $27.2 million for the three months ended July 31, 2018. Cash provided by financing activities during the three months ended July 31, 2019 was primarily a result of $25.0 million draw on our credit facility to support cash needed for operations, partially offset by principal payments on our Term Loan.</w:t>
      </w:r>
    </w:p>
    <w:p>
      <w:pPr>
        <w:spacing w:after="0" w:line="156"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Capital Lease </w:t>
      </w:r>
      <w:r>
        <w:rPr>
          <w:rFonts w:ascii="Times New Roman" w:cs="Times New Roman" w:eastAsia="Times New Roman" w:hAnsi="Times New Roman"/>
          <w:sz w:val="18"/>
          <w:szCs w:val="18"/>
          <w:color w:val="auto"/>
        </w:rPr>
        <w:t>– In fiscal 2017, we announced a plan to establish a national logistics facility in Boone County, Missouri. We ultimately plan to rely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logistics facility for substantially all of our product distribution. In fiscal 2018, we broke ground on this new 633,000 square foot facility, which was completed in November 2018 and will become fully operational over the course of the remainder of fiscal 2020. As part of the completion of the building, we entered into a lease agreement with the developer of the building for $46.2 million. The lease has an effective interest rate of approximately 5.0% and is payable in 240 monthly installments through fiscal 2039. Upon the commencement of this lease, leases were accounted for under the provisions of ASC 840-10, Leases, which requires that leases be evaluated and classified as operating or capital leases for financial reporting purposes. Based on our evaluation under ASC 840-10, we determined that the lease qualified as a capital lease because the net present value of future lease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25" w:name="page26"/>
    <w:bookmarkEnd w:id="25"/>
    <w:p>
      <w:pPr>
        <w:ind w:right="140"/>
        <w:spacing w:after="0" w:line="282" w:lineRule="auto"/>
        <w:rPr>
          <w:sz w:val="20"/>
          <w:szCs w:val="20"/>
          <w:color w:val="auto"/>
        </w:rPr>
      </w:pPr>
      <w:r>
        <w:rPr>
          <w:rFonts w:ascii="Times New Roman" w:cs="Times New Roman" w:eastAsia="Times New Roman" w:hAnsi="Times New Roman"/>
          <w:sz w:val="18"/>
          <w:szCs w:val="18"/>
          <w:color w:val="auto"/>
        </w:rPr>
        <w:t>payments exceeded 90% of the fair market value of the leased building. The building is pledged to secure the amounts outstanding. During the three months ended July 31, 2019, we paid $214,000 in principal payments relating to this capital lease.</w:t>
      </w:r>
    </w:p>
    <w:p>
      <w:pPr>
        <w:spacing w:after="0" w:line="160"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 On June 15, 2015, we and certain of our domestic subsidiaries entered into an unsecured credit facility, or the Credit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TD Bank, N.A. and other lenders, or the Lenders, which included a $175.0 million revolving line of credit, or the Revolving Line, and a $105.0 million term loan, or the Term Loan, of which $79.8 million remained outstanding as of July 31, 2019. The Revolving Line provides for availability for general corporate purposes, with borrowings to bear interest at a variable rate equal to LIBOR or prime plus an applicable margin based on our consolidated leverage ratio, at our election. On October 27, 2016, we entered into a second amendment to our Credit Agreement, or the Second Amendment, that, among other things, increased the Revolving Line to $350.0 million, increased the option to expand the credit commitment to an additional $150.0 million, and extended the maturity of the Revolving Line from June 15, 2020 to October 27, 2021. Other than the changes described in the Second Amendment, we otherwise remain subject to the terms of the Credit Agreement, as described below. We incurred $525,000 of debt issuance costs related to this amendment and have recorded these costs in notes and loans payable in the condensed consolidated balance sheet.</w:t>
      </w:r>
    </w:p>
    <w:p>
      <w:pPr>
        <w:spacing w:after="0" w:line="191"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We were required to obtain interest rate protection on the Term Loan covering not less than 75% of the aggregate outstanding principal balance of the Term Loan. Accordingly, on June 18, 2015, we entered into an interest rate swap agreement, which expires on June 15, 2020, that covered 100% of the $105.0 million of floating rate debt. On July 6, 2015, we executed an interest rate swap pursuant to such agreement, which requires us to pay interest at a defined rate of 1.56% while receiving interest at a defined variable rate equal to the one-month LIBOR rate. This swap, when combined with the applicable margin based on our consolidated leverage ratio, effectively fixed our interest rate on the Term Loan, which is subject to change based on changes in our consolidated leverage ratio. As of July 31, 2019, our interest rate on the Term Loan was 4.38%.</w:t>
      </w:r>
    </w:p>
    <w:p>
      <w:pPr>
        <w:spacing w:after="0" w:line="188"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As of July 31, 2019, the interest rate swap was considered effective and had no effect on earnings. The fair value of the interest rate swap on July 31, 2019 was an asset of $300,000 and was recorded in other assets on our condensed consolidated balance sheet. We do not expect the interest rate swap to have any material impact on earnings within the next 12 months.</w:t>
      </w:r>
    </w:p>
    <w:p>
      <w:pPr>
        <w:spacing w:after="0" w:line="174"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2020 Senior Notes - </w:t>
      </w:r>
      <w:r>
        <w:rPr>
          <w:rFonts w:ascii="Times New Roman" w:cs="Times New Roman" w:eastAsia="Times New Roman" w:hAnsi="Times New Roman"/>
          <w:sz w:val="18"/>
          <w:szCs w:val="18"/>
          <w:color w:val="auto"/>
        </w:rPr>
        <w:t>On February 28, 2018, we issued an aggregate of $75.0 million of the 2020 Senior Notes to various institutional investors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terms and conditions of an indenture, or the 2020 Senior Notes Indenture, and purchase agreements. The 2020 Senior Notes bear interest at a rate of 5.000% per annum payable on February 28 and August 28 of each year, beginning on August 28, 2018. We incurred $158,000 of debt issuance costs related to the issuance of the 2020 Senior Notes.</w:t>
      </w:r>
    </w:p>
    <w:p>
      <w:pPr>
        <w:spacing w:after="0" w:line="182"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As of February 28, 2019, we may, at our option, upon not less than 30 nor more than 60 days’ prior notice, redeem all or a portion of the 2020 Senior Notes at a redemption price of 100.000% of the principal amount of the 2020 Senior Notes to be redeemed plus accrued and unpaid interest as of the applicable redemption date. Subject to certain restrictions and conditions, we may be required to make an offer to repurchase the 2020 Senior Notes from the holders of the 2020 Senior Notes in connection with a change of control or disposition of assets. If not redeemed by us or repaid pursuant to the holders’ right to require repurchase, the 2020 Senior Notes mature on August 28, 2020.</w:t>
      </w:r>
    </w:p>
    <w:p>
      <w:pPr>
        <w:spacing w:after="0" w:line="184"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The 2020 Senior Notes are general, unsecured obligations of our company. The 2020 Senior Notes Indenture contains certain affirmative and negative covenants, including limitations on restricted payments (such as share repurchases, dividends, and early payment of indebtedness), limitations on indebtedness, limitations on the sale of assets, and limitations on liens. Payments that would otherwise be characterized as restricted payments are permitted under the 2020 Senior Notes Indenture in an amount not to exceed 50% of our consolidated net income for the period from the issue date to the date of the restricted payment, provided that at the time of making such payments, (a) no default has occurred or would result from the making of such payments, and</w:t>
      </w:r>
    </w:p>
    <w:p>
      <w:pPr>
        <w:spacing w:after="0" w:line="3" w:lineRule="exact"/>
        <w:rPr>
          <w:sz w:val="20"/>
          <w:szCs w:val="20"/>
          <w:color w:val="auto"/>
        </w:rPr>
      </w:pPr>
    </w:p>
    <w:p>
      <w:pPr>
        <w:ind w:right="80" w:firstLine="8"/>
        <w:spacing w:after="0" w:line="250"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able to satisfy the debt incurrence test under the 2020 Senior Notes Indenture, or the 2020 Senior Notes Lifetime Aggregate Limit. In addition, the 2020 Senior Notes Indenture provides for other exceptions to the restricted payments covenant, each of which are independent of the 2020 Senior Notes Lifetime Aggregate Limit. Among such exceptions are (i) the ability to make share repurchases each fiscal year in an amount not to exceed the lesser of</w:t>
      </w:r>
    </w:p>
    <w:p>
      <w:pPr>
        <w:spacing w:after="0" w:line="1" w:lineRule="exact"/>
        <w:rPr>
          <w:rFonts w:ascii="Times New Roman" w:cs="Times New Roman" w:eastAsia="Times New Roman" w:hAnsi="Times New Roman"/>
          <w:sz w:val="18"/>
          <w:szCs w:val="18"/>
          <w:color w:val="auto"/>
        </w:rPr>
      </w:pPr>
    </w:p>
    <w:p>
      <w:pPr>
        <w:jc w:val="both"/>
        <w:ind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$50.0 million in any fiscal year or (B) 75.0% of our consolidated net income for the previous four consecutive published fiscal quarters prior to the date of the determination of such consolidated net income, and (ii) share repurchases over the life of the 2020 Senior Notes in an aggregate amount not to exceed $75.0 million.</w:t>
      </w:r>
    </w:p>
    <w:p>
      <w:pPr>
        <w:spacing w:after="0" w:line="186"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The Credit Agreement for our credit facility contains financial covenants relating to maintaining maximum leverage and minimum debt service coverage. The 2020 Senior Notes Indenture contains a financial covenant relating to times interest earned. We were in compliance with all debt covenants as of July 31, 2019.</w:t>
      </w:r>
    </w:p>
    <w:p>
      <w:pPr>
        <w:spacing w:after="0" w:line="176"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the costs to ensure access to adequate manufacturing capacity, the construction of our national</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6" w:name="page27"/>
    <w:bookmarkEnd w:id="26"/>
    <w:p>
      <w:pPr>
        <w:ind w:right="40"/>
        <w:spacing w:after="0" w:line="266" w:lineRule="auto"/>
        <w:rPr>
          <w:sz w:val="20"/>
          <w:szCs w:val="20"/>
          <w:color w:val="auto"/>
        </w:rPr>
      </w:pPr>
      <w:r>
        <w:rPr>
          <w:rFonts w:ascii="Times New Roman" w:cs="Times New Roman" w:eastAsia="Times New Roman" w:hAnsi="Times New Roman"/>
          <w:sz w:val="18"/>
          <w:szCs w:val="18"/>
          <w:color w:val="auto"/>
        </w:rPr>
        <w:t>logistics facility, and any acquisitions or strategic investments that we may make. Further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w:t>
      </w:r>
    </w:p>
    <w:p>
      <w:pPr>
        <w:spacing w:after="0" w:line="203"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As of July 31, 2019, we had $30.7 million in cash and cash equivalents on hand. Based upon our current working capital position, current operating plans, and expected business conditions, we believe that our existing capital resources and credit facilities will be adequate to fund our operations, including our outstanding debt and other commitments, for the next 12 months.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us to make estimates and assumptions that affect the reported amounts of assets and liabilities at the date of the financial statements and the reported amounts of revenue and expenses during the reporting periods. Significant accounting policies are disclosed in Note 3 of the Notes to the Consolidated Financial Statements in our Annual Report on Form 10-K for the fiscal year ended April 30, 2019. The most significant areas involving our judgments and estimates are described in Management’s Discussion and Analysis of Financial Condition and Results of Operations in our Annual Report on Form 10-K for the fiscal year ended April 30, 2019, to which there have been no material changes. Actual results could differ from our estimates.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440" w:firstLine="518"/>
        <w:spacing w:after="0" w:line="284" w:lineRule="auto"/>
        <w:rPr>
          <w:sz w:val="20"/>
          <w:szCs w:val="20"/>
          <w:color w:val="auto"/>
        </w:rPr>
      </w:pPr>
      <w:r>
        <w:rPr>
          <w:rFonts w:ascii="Times New Roman" w:cs="Times New Roman" w:eastAsia="Times New Roman" w:hAnsi="Times New Roman"/>
          <w:sz w:val="18"/>
          <w:szCs w:val="18"/>
          <w:color w:val="auto"/>
        </w:rPr>
        <w:t xml:space="preserve">The nature and impact of recent accounting pronouncements, if any, is discussed in Note </w:t>
      </w:r>
      <w:r>
        <w:rPr>
          <w:rFonts w:ascii="Times New Roman" w:cs="Times New Roman" w:eastAsia="Times New Roman" w:hAnsi="Times New Roman"/>
          <w:sz w:val="18"/>
          <w:szCs w:val="18"/>
          <w:i w:val="1"/>
          <w:iCs w:val="1"/>
          <w:color w:val="auto"/>
        </w:rPr>
        <w:t>2—Basis of Presentation</w:t>
      </w:r>
      <w:r>
        <w:rPr>
          <w:rFonts w:ascii="Times New Roman" w:cs="Times New Roman" w:eastAsia="Times New Roman" w:hAnsi="Times New Roman"/>
          <w:sz w:val="18"/>
          <w:szCs w:val="18"/>
          <w:color w:val="auto"/>
        </w:rPr>
        <w:t xml:space="preserve"> to our condensed consolidated financial statements included elsewhere in this report, which is incorporated herein by reference.</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During the period ended July 31, 2019, we did not enter into or transact any forward option contracts nor did we have any forward contracts outstanding. We enter into derivative financial instruments, such as interest rate swaps, in order to mitigate our interest rate risk associated with our variable rate debt. We may be exposed to credit and market risks, including, but not limited to, the failure of any counterparty to perform under the terms of the derivative contract or the adverse effect on the value of the financial instrument resulting from a change in interest rates. As of July 31, 2019, we have an interest rate swap agreement outstanding, which matures on June 15, 2020 and hedges the variable interest on our Term Loan. The outstanding balance of the Term Loan was $79.8 million, and the aggregate net fair value of the interest rate swap was $300,000 as of July 31, 2019. The fair value of this interest rate swap agreement is dependent upon existing market interest rates and swap spreads. We do not anticipate future changes in interest rates to have a material impact on our consolidated financial statements. As of July 31, 2019, the effective interest rate of our Term Loan was 4.38%.</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21" w:lineRule="exact"/>
        <w:rPr>
          <w:sz w:val="20"/>
          <w:szCs w:val="20"/>
          <w:color w:val="auto"/>
        </w:rPr>
      </w:pPr>
    </w:p>
    <w:p>
      <w:pPr>
        <w:ind w:right="20" w:firstLine="518"/>
        <w:spacing w:after="0" w:line="273" w:lineRule="auto"/>
        <w:rPr>
          <w:sz w:val="20"/>
          <w:szCs w:val="20"/>
          <w:color w:val="auto"/>
        </w:rPr>
      </w:pPr>
      <w:r>
        <w:rPr>
          <w:rFonts w:ascii="Times New Roman" w:cs="Times New Roman" w:eastAsia="Times New Roman" w:hAnsi="Times New Roman"/>
          <w:sz w:val="17"/>
          <w:szCs w:val="17"/>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or the Exchange Act). Based on this evaluation, our Chief Executive Officer and Chief Financial Officer concluded that, as of July 31, 2019, our disclosure controls and procedures (as defined in Rules 13a-15(e) and 15d-15(e) under the Exchange Act) were effective to ensure that information required to be disclosed by us in reports that we file or submit under the Exchange Act was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72"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have concluded that, as of July 31, 2019, our disclosure controls and procedures were effective at a reasonable assurance level in that they were reasonably designed to ensure that information required to be disclosed by us in the reports we file or submit under the Exchange Act (i) is recorded, processed, summarized, and reported within the time periods specified in the rules and forms of the SEC, and (ii) is accumulated and communicated to management, including our Chief Executive Officer and Chief Financial Officer, as appropriate to allow timely decisions regarding required disclosure.</w:t>
      </w:r>
    </w:p>
    <w:p>
      <w:pPr>
        <w:spacing w:after="0" w:line="184"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period covered by this Quarterly Report on Form 10-Q that has materially affected, or is reasonably likely to materially affect, our internal control over financial reporting.</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7" w:name="page28"/>
    <w:bookmarkEnd w:id="27"/>
    <w:p>
      <w:pPr>
        <w:ind w:left="42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19" w:lineRule="exact"/>
        <w:rPr>
          <w:sz w:val="20"/>
          <w:szCs w:val="20"/>
          <w:color w:val="auto"/>
        </w:rPr>
      </w:pPr>
    </w:p>
    <w:p>
      <w:pPr>
        <w:ind w:right="120" w:firstLine="518"/>
        <w:spacing w:after="0" w:line="284" w:lineRule="auto"/>
        <w:rPr>
          <w:sz w:val="20"/>
          <w:szCs w:val="20"/>
          <w:color w:val="auto"/>
        </w:rPr>
      </w:pPr>
      <w:r>
        <w:rPr>
          <w:rFonts w:ascii="Times New Roman" w:cs="Times New Roman" w:eastAsia="Times New Roman" w:hAnsi="Times New Roman"/>
          <w:sz w:val="18"/>
          <w:szCs w:val="18"/>
          <w:color w:val="auto"/>
        </w:rPr>
        <w:t>The nature of legal proceedings against us is discussed in Note 11</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condensed consolidated financial statements included elsewhere in this report, which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July 31, 2019, we had no authorized share repurchase programs.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exhibits listed on the Index to Exhibits (immediately preceding the signatures section of this Quarterly Report on Form 10-Q) are included herewith or incorporated herein by reference.</w:t>
      </w:r>
    </w:p>
    <w:p>
      <w:pPr>
        <w:spacing w:after="0" w:line="1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820"/>
          </w:cols>
          <w:pgMar w:left="240" w:top="333" w:right="8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0120" w:type="dxa"/>
            <w:vAlign w:val="bottom"/>
            <w:gridSpan w:val="5"/>
          </w:tcPr>
          <w:p>
            <w:pPr>
              <w:ind w:left="366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92"/>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50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Rule 13a-14(a)/15d-14(a) Certification of Principal Executive Officer</w:t>
              </w:r>
            </w:hyperlink>
          </w:p>
        </w:tc>
        <w:tc>
          <w:tcPr>
            <w:tcW w:w="5100" w:type="dxa"/>
            <w:vAlign w:val="bottom"/>
          </w:tcPr>
          <w:p>
            <w:pPr>
              <w:spacing w:after="0"/>
              <w:rPr>
                <w:sz w:val="24"/>
                <w:szCs w:val="24"/>
                <w:color w:val="auto"/>
              </w:rPr>
            </w:pPr>
          </w:p>
        </w:tc>
      </w:tr>
      <w:tr>
        <w:trPr>
          <w:trHeight w:val="318"/>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10120" w:type="dxa"/>
            <w:vAlign w:val="bottom"/>
            <w:gridSpan w:val="5"/>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Rule 13a-14(a)/15d-14(a) Certification of Principal Financial Officer</w:t>
              </w:r>
            </w:hyperlink>
          </w:p>
        </w:tc>
      </w:tr>
      <w:tr>
        <w:trPr>
          <w:trHeight w:val="318"/>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32.1</w:t>
            </w:r>
          </w:p>
        </w:tc>
        <w:tc>
          <w:tcPr>
            <w:tcW w:w="412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Section 1350 Certification of Principal Executive Officer</w:t>
              </w:r>
            </w:hyperlink>
          </w:p>
        </w:tc>
        <w:tc>
          <w:tcPr>
            <w:tcW w:w="840" w:type="dxa"/>
            <w:vAlign w:val="bottom"/>
            <w:tcBorders>
              <w:top w:val="single" w:sz="8" w:color="0000EE"/>
            </w:tcBorders>
          </w:tcPr>
          <w:p>
            <w:pPr>
              <w:spacing w:after="0"/>
              <w:rPr>
                <w:sz w:val="24"/>
                <w:szCs w:val="24"/>
                <w:color w:val="auto"/>
              </w:rPr>
            </w:pPr>
          </w:p>
        </w:tc>
        <w:tc>
          <w:tcPr>
            <w:tcW w:w="5160" w:type="dxa"/>
            <w:vAlign w:val="bottom"/>
            <w:gridSpan w:val="2"/>
          </w:tcPr>
          <w:p>
            <w:pPr>
              <w:spacing w:after="0"/>
              <w:rPr>
                <w:sz w:val="24"/>
                <w:szCs w:val="24"/>
                <w:color w:val="auto"/>
              </w:rPr>
            </w:pPr>
          </w:p>
        </w:tc>
      </w:tr>
      <w:tr>
        <w:trPr>
          <w:trHeight w:val="318"/>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32.2</w:t>
            </w:r>
          </w:p>
        </w:tc>
        <w:tc>
          <w:tcPr>
            <w:tcW w:w="10120" w:type="dxa"/>
            <w:vAlign w:val="bottom"/>
            <w:gridSpan w:val="5"/>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Section 1350 Certification of Principal Financial Officer</w:t>
              </w:r>
            </w:hyperlink>
          </w:p>
        </w:tc>
      </w:tr>
      <w:tr>
        <w:trPr>
          <w:trHeight w:val="20"/>
        </w:trPr>
        <w:tc>
          <w:tcPr>
            <w:tcW w:w="116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6060" w:type="dxa"/>
            <w:vAlign w:val="bottom"/>
            <w:gridSpan w:val="4"/>
          </w:tcPr>
          <w:p>
            <w:pPr>
              <w:spacing w:after="0" w:line="20" w:lineRule="exact"/>
              <w:rPr>
                <w:sz w:val="1"/>
                <w:szCs w:val="1"/>
                <w:color w:val="auto"/>
              </w:rPr>
            </w:pPr>
          </w:p>
        </w:tc>
      </w:tr>
      <w:tr>
        <w:trPr>
          <w:trHeight w:val="3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1160" w:type="dxa"/>
            <w:vAlign w:val="bottom"/>
          </w:tcPr>
          <w:p>
            <w:pPr>
              <w:spacing w:after="0"/>
              <w:rPr>
                <w:sz w:val="20"/>
                <w:szCs w:val="20"/>
                <w:color w:val="auto"/>
              </w:rPr>
            </w:pPr>
          </w:p>
        </w:tc>
        <w:tc>
          <w:tcPr>
            <w:tcW w:w="10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1160" w:hanging="1152"/>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333" w:right="37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7780" w:type="dxa"/>
            <w:vAlign w:val="bottom"/>
            <w:gridSpan w:val="2"/>
          </w:tcPr>
          <w:p>
            <w:pPr>
              <w:ind w:left="2960"/>
              <w:spacing w:after="0"/>
              <w:rPr>
                <w:sz w:val="20"/>
                <w:szCs w:val="20"/>
                <w:color w:val="auto"/>
              </w:rPr>
            </w:pPr>
            <w:r>
              <w:rPr>
                <w:rFonts w:ascii="Times New Roman" w:cs="Times New Roman" w:eastAsia="Times New Roman" w:hAnsi="Times New Roman"/>
                <w:sz w:val="18"/>
                <w:szCs w:val="18"/>
                <w:color w:val="auto"/>
              </w:rPr>
              <w:t>AMERICAN OUTDOOR BRANDS CORPORATION,</w:t>
            </w:r>
          </w:p>
        </w:tc>
      </w:tr>
      <w:tr>
        <w:trPr>
          <w:trHeight w:val="234"/>
        </w:trPr>
        <w:tc>
          <w:tcPr>
            <w:tcW w:w="3640" w:type="dxa"/>
            <w:vAlign w:val="bottom"/>
          </w:tcPr>
          <w:p>
            <w:pPr>
              <w:spacing w:after="0"/>
              <w:rPr>
                <w:sz w:val="20"/>
                <w:szCs w:val="20"/>
                <w:color w:val="auto"/>
              </w:rPr>
            </w:pPr>
          </w:p>
        </w:tc>
        <w:tc>
          <w:tcPr>
            <w:tcW w:w="7780" w:type="dxa"/>
            <w:vAlign w:val="bottom"/>
            <w:gridSpan w:val="2"/>
          </w:tcPr>
          <w:p>
            <w:pPr>
              <w:ind w:left="2960"/>
              <w:spacing w:after="0"/>
              <w:rPr>
                <w:sz w:val="20"/>
                <w:szCs w:val="20"/>
                <w:color w:val="auto"/>
              </w:rPr>
            </w:pPr>
            <w:r>
              <w:rPr>
                <w:rFonts w:ascii="Times New Roman" w:cs="Times New Roman" w:eastAsia="Times New Roman" w:hAnsi="Times New Roman"/>
                <w:sz w:val="18"/>
                <w:szCs w:val="18"/>
                <w:color w:val="auto"/>
              </w:rPr>
              <w:t>a Nevada corporation</w:t>
            </w:r>
          </w:p>
        </w:tc>
      </w:tr>
      <w:tr>
        <w:trPr>
          <w:trHeight w:val="47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29, 2019</w:t>
            </w:r>
          </w:p>
        </w:tc>
        <w:tc>
          <w:tcPr>
            <w:tcW w:w="358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 James Debney</w:t>
            </w:r>
          </w:p>
        </w:tc>
      </w:tr>
      <w:tr>
        <w:trPr>
          <w:trHeight w:val="189"/>
        </w:trPr>
        <w:tc>
          <w:tcPr>
            <w:tcW w:w="36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 James Debney</w:t>
            </w:r>
          </w:p>
        </w:tc>
      </w:tr>
      <w:tr>
        <w:trPr>
          <w:trHeight w:val="236"/>
        </w:trPr>
        <w:tc>
          <w:tcPr>
            <w:tcW w:w="36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45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29, 2019</w:t>
            </w:r>
          </w:p>
        </w:tc>
        <w:tc>
          <w:tcPr>
            <w:tcW w:w="358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Jeffrey D. Buchanan</w:t>
            </w:r>
          </w:p>
        </w:tc>
      </w:tr>
      <w:tr>
        <w:trPr>
          <w:trHeight w:val="189"/>
        </w:trPr>
        <w:tc>
          <w:tcPr>
            <w:tcW w:w="36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Jeffrey D. Buchanan</w:t>
            </w:r>
          </w:p>
        </w:tc>
      </w:tr>
      <w:tr>
        <w:trPr>
          <w:trHeight w:val="216"/>
        </w:trPr>
        <w:tc>
          <w:tcPr>
            <w:tcW w:w="36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r>
      <w:tr>
        <w:trPr>
          <w:trHeight w:val="216"/>
        </w:trPr>
        <w:tc>
          <w:tcPr>
            <w:tcW w:w="36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Chief Financial Officer, Chief Administrative Officer, and</w:t>
            </w:r>
          </w:p>
        </w:tc>
      </w:tr>
      <w:tr>
        <w:trPr>
          <w:trHeight w:val="236"/>
        </w:trPr>
        <w:tc>
          <w:tcPr>
            <w:tcW w:w="36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Treasurer</w:t>
            </w:r>
          </w:p>
        </w:tc>
      </w:tr>
      <w:tr>
        <w:trPr>
          <w:trHeight w:val="864"/>
        </w:trPr>
        <w:tc>
          <w:tcPr>
            <w:tcW w:w="3640" w:type="dxa"/>
            <w:vAlign w:val="bottom"/>
          </w:tcPr>
          <w:p>
            <w:pPr>
              <w:spacing w:after="0"/>
              <w:rPr>
                <w:sz w:val="24"/>
                <w:szCs w:val="24"/>
                <w:color w:val="auto"/>
              </w:rPr>
            </w:pPr>
          </w:p>
        </w:tc>
        <w:tc>
          <w:tcPr>
            <w:tcW w:w="35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30</w:t>
            </w:r>
          </w:p>
        </w:tc>
        <w:tc>
          <w:tcPr>
            <w:tcW w:w="420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 James Debney, certify that:</w:t>
      </w:r>
    </w:p>
    <w:p>
      <w:pPr>
        <w:spacing w:after="0" w:line="117" w:lineRule="exact"/>
        <w:rPr>
          <w:sz w:val="20"/>
          <w:szCs w:val="20"/>
          <w:color w:val="auto"/>
        </w:rPr>
      </w:pPr>
    </w:p>
    <w:p>
      <w:pPr>
        <w:ind w:left="700" w:hanging="174"/>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Outdoor Brands Corporation;</w:t>
      </w:r>
    </w:p>
    <w:p>
      <w:pPr>
        <w:spacing w:after="0" w:line="117"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240" w:firstLine="526"/>
        <w:spacing w:after="0" w:line="266"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right="100" w:firstLine="1042"/>
        <w:spacing w:after="0" w:line="266" w:lineRule="auto"/>
        <w:tabs>
          <w:tab w:leader="none" w:pos="127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right="20" w:firstLine="1042"/>
        <w:spacing w:after="0" w:line="266" w:lineRule="auto"/>
        <w:tabs>
          <w:tab w:leader="none" w:pos="128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right="420" w:firstLine="1042"/>
        <w:spacing w:after="0" w:line="282" w:lineRule="auto"/>
        <w:tabs>
          <w:tab w:leader="none" w:pos="127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400" w:firstLine="1042"/>
        <w:spacing w:after="0" w:line="266" w:lineRule="auto"/>
        <w:tabs>
          <w:tab w:leader="none" w:pos="128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200" w:firstLine="526"/>
        <w:spacing w:after="0" w:line="282"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660" w:firstLine="1042"/>
        <w:spacing w:after="0" w:line="282" w:lineRule="auto"/>
        <w:tabs>
          <w:tab w:leader="none" w:pos="126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340" w:firstLine="1042"/>
        <w:spacing w:after="0" w:line="282" w:lineRule="auto"/>
        <w:tabs>
          <w:tab w:leader="none" w:pos="127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 James Debney</w:t>
      </w:r>
    </w:p>
    <w:p>
      <w:pPr>
        <w:spacing w:after="0" w:line="2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P. James Debney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29, 2019</w:t>
      </w:r>
    </w:p>
    <w:p>
      <w:pPr>
        <w:sectPr>
          <w:pgSz w:w="11900" w:h="16838" w:orient="portrait"/>
          <w:cols w:equalWidth="0" w:num="1">
            <w:col w:w="11420"/>
          </w:cols>
          <w:pgMar w:left="240" w:top="360"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D. Buchanan, certify that:</w:t>
      </w:r>
    </w:p>
    <w:p>
      <w:pPr>
        <w:spacing w:after="0" w:line="117" w:lineRule="exact"/>
        <w:rPr>
          <w:sz w:val="20"/>
          <w:szCs w:val="20"/>
          <w:color w:val="auto"/>
        </w:rPr>
      </w:pPr>
    </w:p>
    <w:p>
      <w:pPr>
        <w:ind w:left="700" w:hanging="17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Outdoor Brands Corporation;</w:t>
      </w:r>
    </w:p>
    <w:p>
      <w:pPr>
        <w:spacing w:after="0" w:line="117"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240" w:firstLine="526"/>
        <w:spacing w:after="0" w:line="266"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right="100" w:firstLine="1042"/>
        <w:spacing w:after="0" w:line="266" w:lineRule="auto"/>
        <w:tabs>
          <w:tab w:leader="none" w:pos="127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right="20" w:firstLine="1042"/>
        <w:spacing w:after="0" w:line="266" w:lineRule="auto"/>
        <w:tabs>
          <w:tab w:leader="none" w:pos="128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right="420" w:firstLine="1042"/>
        <w:spacing w:after="0" w:line="282" w:lineRule="auto"/>
        <w:tabs>
          <w:tab w:leader="none" w:pos="127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400" w:firstLine="1042"/>
        <w:spacing w:after="0" w:line="266" w:lineRule="auto"/>
        <w:tabs>
          <w:tab w:leader="none" w:pos="128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200" w:firstLine="526"/>
        <w:spacing w:after="0" w:line="282"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660" w:firstLine="1042"/>
        <w:spacing w:after="0" w:line="282" w:lineRule="auto"/>
        <w:tabs>
          <w:tab w:leader="none" w:pos="126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340" w:firstLine="1042"/>
        <w:spacing w:after="0" w:line="282" w:lineRule="auto"/>
        <w:tabs>
          <w:tab w:leader="none" w:pos="127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Jeffrey D. Buchanan</w:t>
      </w:r>
    </w:p>
    <w:p>
      <w:pPr>
        <w:spacing w:after="0" w:line="2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Jeffrey D.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 Chief</w:t>
      </w:r>
    </w:p>
    <w:p>
      <w:pPr>
        <w:spacing w:after="0" w:line="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i w:val="1"/>
          <w:iCs w:val="1"/>
          <w:color w:val="auto"/>
        </w:rPr>
        <w:t>Administrative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29, 2019</w:t>
      </w:r>
    </w:p>
    <w:p>
      <w:pPr>
        <w:sectPr>
          <w:pgSz w:w="11900" w:h="16838" w:orient="portrait"/>
          <w:cols w:equalWidth="0" w:num="1">
            <w:col w:w="11420"/>
          </w:cols>
          <w:pgMar w:left="240" w:top="360"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American Outdoor Brands Corporation (the “Company”) for the quarterly period ended July 31, 2019 as filed with the Securities and Exchange Commission on the date hereof (the “Report”), I, P. James Debney, President and Chief Executive Officer of the Company, certify, to the best of my knowledge and belief, pursuant to 18 U.S.C. § 1350, as adopted pursuant to § 906 of the Sarbanes-Oxley Act of 2002, that:</w:t>
      </w:r>
    </w:p>
    <w:p>
      <w:pPr>
        <w:spacing w:after="0" w:line="7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 The Report fully complies with the requirements of Section 13(a) or 15(d) of the Securities Exchange Act of 1934 (15 U.S.C. 78m(a)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78o(d)); and</w:t>
      </w:r>
    </w:p>
    <w:p>
      <w:pPr>
        <w:spacing w:after="0" w:line="9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(ii) 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2"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 James Debney</w:t>
      </w:r>
    </w:p>
    <w:p>
      <w:pPr>
        <w:spacing w:after="0" w:line="2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P. James Debney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29, 2019</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American Outdoor Brands Corporation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420"/>
          </w:cols>
          <w:pgMar w:left="240" w:top="360"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American Outdoor Brands Corporation (the “Company”) for the quarterly period ended July 31, 2019 as filed with the Securities and Exchange Commission on the date hereof (the “Report”), I, Jeffrey D. Buchanan, Chief Financial Officer of the Company, certify, to the best of my knowledge and belief, pursuant to 18 U.S.C. § 1350, as adopted pursuant to § 906 of the Sarbanes-Oxley Act of 2002, that:</w:t>
      </w:r>
    </w:p>
    <w:p>
      <w:pPr>
        <w:spacing w:after="0" w:line="7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 The Report fully complies with the requirements of Section 13(a) or 15(d) of the Securities Exchange Act of 1934 (15 U.S.C. 78m(a)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78o(d)); and</w:t>
      </w:r>
    </w:p>
    <w:p>
      <w:pPr>
        <w:spacing w:after="0" w:line="9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(ii) 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2"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Jeffrey D. Buchanan</w:t>
      </w:r>
    </w:p>
    <w:p>
      <w:pPr>
        <w:spacing w:after="0" w:line="2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Jeffrey D.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 Chief</w:t>
      </w:r>
    </w:p>
    <w:p>
      <w:pPr>
        <w:spacing w:after="0" w:line="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i w:val="1"/>
          <w:iCs w:val="1"/>
          <w:color w:val="auto"/>
        </w:rPr>
        <w:t>Administrative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29, 2019</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American Outdoor Brands Corporation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2"/>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decimal"/>
      <w:start w:val="104"/>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2019-12-28T06:38:10Z</dcterms:created>
  <dcterms:modified xsi:type="dcterms:W3CDTF">2019-12-28T06:38:10Z</dcterms:modified>
</cp:coreProperties>
</file>