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5"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8"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2024</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200025</wp:posOffset>
            </wp:positionV>
            <wp:extent cx="254571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571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Smith &amp; Wesson Brands, Inc.</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tbl>
      <w:tblPr>
        <w:tblLayout w:type="fixed"/>
        <w:tblInd w:w="520" w:type="dxa"/>
        <w:tblCellMar>
          <w:top w:w="0" w:type="dxa"/>
          <w:left w:w="0" w:type="dxa"/>
          <w:bottom w:w="0" w:type="dxa"/>
          <w:right w:w="0" w:type="dxa"/>
        </w:tblCellMar>
      </w:tblPr>
      <w:tr>
        <w:trPr>
          <w:trHeight w:val="238"/>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87-0543688</w:t>
            </w:r>
          </w:p>
        </w:tc>
      </w:tr>
      <w:tr>
        <w:trPr>
          <w:trHeight w:val="151"/>
        </w:trPr>
        <w:tc>
          <w:tcPr>
            <w:tcW w:w="3440" w:type="dxa"/>
            <w:vAlign w:val="bottom"/>
          </w:tcPr>
          <w:p>
            <w:pPr>
              <w:jc w:val="center"/>
              <w:ind w:left="95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0" w:type="dxa"/>
            <w:vAlign w:val="bottom"/>
          </w:tcPr>
          <w:p>
            <w:pPr>
              <w:jc w:val="center"/>
              <w:ind w:right="1280"/>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40" w:type="dxa"/>
            <w:vAlign w:val="bottom"/>
          </w:tcPr>
          <w:p>
            <w:pPr>
              <w:jc w:val="center"/>
              <w:ind w:left="9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9"/>
              </w:rPr>
              <w:t>1852 Proffitt Springs Road</w:t>
            </w: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8"/>
        </w:trPr>
        <w:tc>
          <w:tcPr>
            <w:tcW w:w="3440" w:type="dxa"/>
            <w:vAlign w:val="bottom"/>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w w:val="98"/>
              </w:rPr>
              <w:t>Maryville, Tennessee</w:t>
            </w:r>
          </w:p>
        </w:tc>
        <w:tc>
          <w:tcPr>
            <w:tcW w:w="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0" w:type="dxa"/>
            <w:vAlign w:val="bottom"/>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37801</w:t>
            </w:r>
          </w:p>
        </w:tc>
      </w:tr>
      <w:tr>
        <w:trPr>
          <w:trHeight w:val="192"/>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3440" w:type="dxa"/>
            <w:vAlign w:val="bottom"/>
          </w:tcPr>
          <w:p>
            <w:pPr>
              <w:spacing w:after="0"/>
              <w:rPr>
                <w:sz w:val="24"/>
                <w:szCs w:val="24"/>
                <w:color w:val="auto"/>
              </w:rPr>
            </w:pPr>
          </w:p>
        </w:tc>
        <w:tc>
          <w:tcPr>
            <w:tcW w:w="27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(800) 331-0852</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90"/>
        </w:trPr>
        <w:tc>
          <w:tcPr>
            <w:tcW w:w="3440" w:type="dxa"/>
            <w:vAlign w:val="bottom"/>
          </w:tcPr>
          <w:p>
            <w:pPr>
              <w:spacing w:after="0"/>
              <w:rPr>
                <w:sz w:val="16"/>
                <w:szCs w:val="16"/>
                <w:color w:val="auto"/>
              </w:rPr>
            </w:pP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00" w:type="dxa"/>
            <w:vAlign w:val="bottom"/>
          </w:tcPr>
          <w:p>
            <w:pPr>
              <w:spacing w:after="0"/>
              <w:rPr>
                <w:sz w:val="16"/>
                <w:szCs w:val="16"/>
                <w:color w:val="auto"/>
              </w:rPr>
            </w:pPr>
          </w:p>
        </w:tc>
      </w:tr>
      <w:tr>
        <w:trPr>
          <w:trHeight w:val="118"/>
        </w:trPr>
        <w:tc>
          <w:tcPr>
            <w:tcW w:w="3980" w:type="dxa"/>
            <w:vAlign w:val="bottom"/>
            <w:gridSpan w:val="2"/>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3200" w:type="dxa"/>
            <w:vAlign w:val="bottom"/>
          </w:tcPr>
          <w:p>
            <w:pPr>
              <w:spacing w:after="0"/>
              <w:rPr>
                <w:sz w:val="10"/>
                <w:szCs w:val="10"/>
                <w:color w:val="auto"/>
              </w:rPr>
            </w:pPr>
          </w:p>
        </w:tc>
      </w:tr>
      <w:tr>
        <w:trPr>
          <w:trHeight w:val="318"/>
        </w:trPr>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328"/>
        </w:trPr>
        <w:tc>
          <w:tcPr>
            <w:tcW w:w="3440" w:type="dxa"/>
            <w:vAlign w:val="bottom"/>
          </w:tcPr>
          <w:p>
            <w:pPr>
              <w:jc w:val="center"/>
              <w:ind w:right="618"/>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40" w:type="dxa"/>
            <w:vAlign w:val="bottom"/>
          </w:tcPr>
          <w:p>
            <w:pPr>
              <w:spacing w:after="0"/>
              <w:rPr>
                <w:sz w:val="24"/>
                <w:szCs w:val="24"/>
                <w:color w:val="auto"/>
              </w:rPr>
            </w:pPr>
          </w:p>
        </w:tc>
        <w:tc>
          <w:tcPr>
            <w:tcW w:w="3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88"/>
        </w:trPr>
        <w:tc>
          <w:tcPr>
            <w:tcW w:w="3440" w:type="dxa"/>
            <w:vAlign w:val="bottom"/>
          </w:tcPr>
          <w:p>
            <w:pPr>
              <w:jc w:val="center"/>
              <w:ind w:right="61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540" w:type="dxa"/>
            <w:vAlign w:val="bottom"/>
          </w:tcPr>
          <w:p>
            <w:pPr>
              <w:spacing w:after="0"/>
              <w:rPr>
                <w:sz w:val="16"/>
                <w:szCs w:val="16"/>
                <w:color w:val="auto"/>
              </w:rPr>
            </w:pPr>
          </w:p>
        </w:tc>
        <w:tc>
          <w:tcPr>
            <w:tcW w:w="30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SWBI</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00"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89" w:lineRule="exact"/>
        <w:rPr>
          <w:sz w:val="24"/>
          <w:szCs w:val="24"/>
          <w:color w:val="auto"/>
        </w:rPr>
      </w:pPr>
    </w:p>
    <w:p>
      <w:pPr>
        <w:jc w:val="both"/>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20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registrant had 44,852,284 shares of common stock, par value $0.001, outstanding as of September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Months Ended July 31, 2024 and 2023</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80" w:type="dxa"/>
            <w:vAlign w:val="bottom"/>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tcPr>
          <w:p>
            <w:pPr>
              <w:spacing w:after="0"/>
              <w:rPr>
                <w:sz w:val="20"/>
                <w:szCs w:val="20"/>
                <w:color w:val="auto"/>
              </w:rPr>
            </w:pPr>
          </w:p>
        </w:tc>
      </w:tr>
      <w:tr>
        <w:trPr>
          <w:trHeight w:val="418"/>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20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tcPr>
          <w:p>
            <w:pPr>
              <w:spacing w:after="0"/>
              <w:rPr>
                <w:sz w:val="18"/>
                <w:szCs w:val="18"/>
                <w:color w:val="auto"/>
              </w:rPr>
            </w:pPr>
          </w:p>
        </w:tc>
        <w:tc>
          <w:tcPr>
            <w:tcW w:w="18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0" w:type="dxa"/>
            <w:vAlign w:val="bottom"/>
            <w:tcBorders>
              <w:bottom w:val="single" w:sz="8" w:color="0000EE"/>
            </w:tcBorders>
          </w:tcPr>
          <w:p>
            <w:pPr>
              <w:spacing w:after="0"/>
              <w:rPr>
                <w:sz w:val="18"/>
                <w:szCs w:val="18"/>
                <w:color w:val="auto"/>
              </w:rPr>
            </w:pPr>
          </w:p>
        </w:tc>
        <w:tc>
          <w:tcPr>
            <w:tcW w:w="6520" w:type="dxa"/>
            <w:vAlign w:val="bottom"/>
            <w:gridSpan w:val="7"/>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44"/>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0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6360" w:type="dxa"/>
            <w:vAlign w:val="bottom"/>
            <w:gridSpan w:val="6"/>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960" w:type="dxa"/>
            <w:vAlign w:val="bottom"/>
            <w:gridSpan w:val="3"/>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6980" w:type="dxa"/>
            <w:vAlign w:val="bottom"/>
            <w:gridSpan w:val="9"/>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20" w:type="dxa"/>
            <w:vAlign w:val="bottom"/>
            <w:gridSpan w:val="2"/>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720" w:type="dxa"/>
            <w:vAlign w:val="bottom"/>
            <w:gridSpan w:val="1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20" w:type="dxa"/>
            <w:vAlign w:val="bottom"/>
            <w:gridSpan w:val="11"/>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10"/>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EX-31.1</w:t>
            </w:r>
          </w:p>
        </w:tc>
        <w:tc>
          <w:tcPr>
            <w:tcW w:w="2020" w:type="dxa"/>
            <w:vAlign w:val="bottom"/>
          </w:tcPr>
          <w:p>
            <w:pPr>
              <w:spacing w:after="0"/>
              <w:rPr>
                <w:sz w:val="18"/>
                <w:szCs w:val="18"/>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EX-31.2</w:t>
            </w:r>
          </w:p>
        </w:tc>
        <w:tc>
          <w:tcPr>
            <w:tcW w:w="2020" w:type="dxa"/>
            <w:vAlign w:val="bottom"/>
          </w:tcPr>
          <w:p>
            <w:pPr>
              <w:spacing w:after="0"/>
              <w:rPr>
                <w:sz w:val="18"/>
                <w:szCs w:val="18"/>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EX-32.1</w:t>
            </w:r>
          </w:p>
        </w:tc>
        <w:tc>
          <w:tcPr>
            <w:tcW w:w="2020" w:type="dxa"/>
            <w:vAlign w:val="bottom"/>
          </w:tcPr>
          <w:p>
            <w:pPr>
              <w:spacing w:after="0"/>
              <w:rPr>
                <w:sz w:val="18"/>
                <w:szCs w:val="18"/>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10"/>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EX-32.2</w:t>
            </w:r>
          </w:p>
        </w:tc>
        <w:tc>
          <w:tcPr>
            <w:tcW w:w="2020" w:type="dxa"/>
            <w:vAlign w:val="bottom"/>
          </w:tcPr>
          <w:p>
            <w:pPr>
              <w:spacing w:after="0"/>
              <w:rPr>
                <w:sz w:val="18"/>
                <w:szCs w:val="18"/>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Smith &amp; Wesson®, S&amp;W®, M&amp;P®, M&amp;P Shield®, Performance Center®, Airlite®, Airweight®, American Guardians®, Armornite®, Arrow®, Aurora®, Aurora-II®, Blast Jacket®, Bodyguard®, Carry Comp®, Chiefs Special®, Club 1852®, Competitor®, CSX®, Dagger®, E-Series®, EZ®, Flexmag®, G-Core®, Gemtech®, Gemtech Suppressors®, GM®, GM-S1®, GMT-Halo®, Governor®, GVAC®, Integra®, Lady Smith®, Lever Lock®, Lunar®, M&amp;P FPC®, M2.0®, Magnum®, Mist-22®, Mountain Gun®, Protected by Smith &amp; Wesson®, Put A Legend On Your Line®, Quickmount®, Shield®, Silence is Golden®, Smith &amp; Wesson Collectors Association®, Smith &amp; Wesson Performance Center®, Smith &amp; Wesson Precision Components®, Smith &amp; Wesson Response®, SW Equalizer®, SW22 Victory®, TEMPO®, The S&amp;W Bench®, The Sigma Series®, Trek®, Volunteer®, and Weather Shield® are some of the registered U.S.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or the Exchange Act.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our intention to occupy our Deep River facility through January 4, 2025; our current belief that there are no indications of impairment relating to assets being utilized at the Deep River facility; expected undiscounted cashflows, based on the Assignment and Assumption Agreement (as defined herein), for future periods; lease payments for all our operating and finance leases for future periods; the outcome of the lawsuits to which we are subject and their effect on us; our belief that the remaining claims asserted by Gemini (as defined herein) against us have no merit and our intention to aggressively defend this action; our belief with respect to certain matters described in the Commitments and Contingencies – Litigation section, that the allegations are unfounded and, in addition, that any incident and any results from them or any injuries were due to negligence or misuse of the firearm by the claimant or a third party; our belief that our accruals for product liability cases and claims are a reasonable quantitative measure of the cost to us of product liability cases and claims; our belief that we have provided adequate accruals for defense costs; our intention, in connection with our new facility in Maryville, Tennessee, to incur, or cause to be incurred, no less than $120.0 million in aggregate capital expenditures on or before December 31, 2025, create no less than 620 new jobs, and sustain an average hourly wage of at least $25.97 at the facility; our expectation, when adding the cost of machinery and equipment, to spend between $160.0 million and $170.0 million through the end of fiscal 2025; our belief that inventory levels, both internally and in the distribution channel, in excess of demand may negatively impact future operating results; our expectation that our inventory levels will rise slightly during our second fiscal quarter before declining during the remainder of the fiscal year; our expectation for capital expenditures in fiscal 2025; factors affecting our future capital requirements; availability of equity or debt financing on acceptable terms, if at all; the record date and payment date for our dividend; and our belief that our existing capital resources and credit facilities will be adequate to fund our operations for the next 12 months.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hereof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others, economic, political, social, legislative, regulatory, inflationary, and health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effectively manage and execute the Relocation;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introduce new products; the success of new products; our ability to expand our markets; the potential for cancellation of orders from our backlog; and other factors detailed from time to time in our reports filed with the Securities and Exchange Commission, or the SEC, including our Annual Report on Form 10-K for the fiscal year ended April 30, 2024, or the Fiscal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July 31, 2024</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April 30, 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0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color w:val="auto"/>
              </w:rPr>
              <w:t>(In thousands, except par value and share data)</w:t>
            </w:r>
          </w:p>
        </w:tc>
        <w:tc>
          <w:tcPr>
            <w:tcW w:w="0" w:type="dxa"/>
            <w:vAlign w:val="bottom"/>
          </w:tcPr>
          <w:p>
            <w:pPr>
              <w:spacing w:after="0"/>
              <w:rPr>
                <w:sz w:val="1"/>
                <w:szCs w:val="1"/>
                <w:color w:val="auto"/>
              </w:rPr>
            </w:pPr>
          </w:p>
        </w:tc>
      </w:tr>
      <w:tr>
        <w:trPr>
          <w:trHeight w:val="249"/>
        </w:trPr>
        <w:tc>
          <w:tcPr>
            <w:tcW w:w="7660" w:type="dxa"/>
            <w:vAlign w:val="bottom"/>
          </w:tcPr>
          <w:p>
            <w:pPr>
              <w:ind w:left="5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35,515</w:t>
            </w:r>
          </w:p>
        </w:tc>
        <w:tc>
          <w:tcPr>
            <w:tcW w:w="3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Accounts receivable, net of allowances for credit losses of $5 on</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July 31, 2024 and $0 on April 30, 2024</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47,762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59,071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9,040</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Income tax receivable</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3,183</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285,314</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287,878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248,765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7,249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8,390</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571,268</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577,996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37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29,453</w:t>
            </w:r>
          </w:p>
        </w:tc>
        <w:tc>
          <w:tcPr>
            <w:tcW w:w="3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27,887</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Accrued profit sharing</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9,098</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7"/>
                <w:szCs w:val="17"/>
                <w:color w:val="auto"/>
              </w:rPr>
              <w:t>Accrued warranty</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80,489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and loans payable (Note 4)</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69,903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Finance lease payable, net of current portion</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34,994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35,404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7,896</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193,282</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179,836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66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Preferred stock, $0.001 par value, 20,000,000 shares authorized, no shares</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issued or outstanding</w:t>
            </w:r>
          </w:p>
        </w:tc>
        <w:tc>
          <w:tcPr>
            <w:tcW w:w="28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Common stock, $0.001 par value, 100,000,000 shares authorized, 75,551,848</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issued and 44,847,258 shares outstanding on July 31, 2024 and 75,395,490</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shares issued and 45,561,569 shares outstanding on April 30, 2024</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290,790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Retained earnings</w:t>
            </w: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532,647</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540,660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Treasury stock, at cost (30,704,590 shares on July 31, 2024 and</w:t>
            </w:r>
          </w:p>
        </w:tc>
        <w:tc>
          <w:tcPr>
            <w:tcW w:w="280" w:type="dxa"/>
            <w:vAlign w:val="bottom"/>
            <w:shd w:val="clear" w:color="auto" w:fill="CFF0FC"/>
          </w:tcPr>
          <w:p>
            <w:pPr>
              <w:spacing w:after="0"/>
              <w:rPr>
                <w:sz w:val="17"/>
                <w:szCs w:val="17"/>
                <w:color w:val="auto"/>
              </w:rPr>
            </w:pPr>
          </w:p>
        </w:tc>
        <w:tc>
          <w:tcPr>
            <w:tcW w:w="16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(445,600 )</w:t>
            </w:r>
          </w:p>
        </w:tc>
        <w:tc>
          <w:tcPr>
            <w:tcW w:w="220" w:type="dxa"/>
            <w:vAlign w:val="bottom"/>
            <w:shd w:val="clear" w:color="auto" w:fill="CFF0FC"/>
          </w:tcPr>
          <w:p>
            <w:pPr>
              <w:spacing w:after="0"/>
              <w:rPr>
                <w:sz w:val="17"/>
                <w:szCs w:val="17"/>
                <w:color w:val="auto"/>
              </w:rPr>
            </w:pPr>
          </w:p>
        </w:tc>
        <w:tc>
          <w:tcPr>
            <w:tcW w:w="14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(432,642 )</w:t>
            </w: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29,833,921 shares on April 30, 2024)</w:t>
            </w:r>
          </w:p>
        </w:tc>
        <w:tc>
          <w:tcPr>
            <w:tcW w:w="280" w:type="dxa"/>
            <w:vAlign w:val="bottom"/>
            <w:shd w:val="clear" w:color="auto" w:fill="CFF0FC"/>
          </w:tcPr>
          <w:p>
            <w:pPr>
              <w:spacing w:after="0"/>
              <w:rPr>
                <w:sz w:val="19"/>
                <w:szCs w:val="19"/>
                <w:color w:val="auto"/>
              </w:rPr>
            </w:pPr>
          </w:p>
        </w:tc>
        <w:tc>
          <w:tcPr>
            <w:tcW w:w="166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377,986</w:t>
            </w:r>
          </w:p>
        </w:tc>
        <w:tc>
          <w:tcPr>
            <w:tcW w:w="30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398,160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571,268</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577,996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-4697095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-3805555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-3788410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-2759710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-2013585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-333375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6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660" w:type="dxa"/>
            <w:vAlign w:val="bottom"/>
          </w:tcPr>
          <w:p>
            <w:pPr>
              <w:spacing w:after="0"/>
              <w:rPr>
                <w:sz w:val="20"/>
                <w:szCs w:val="20"/>
                <w:color w:val="auto"/>
              </w:rPr>
            </w:pPr>
          </w:p>
        </w:tc>
        <w:tc>
          <w:tcPr>
            <w:tcW w:w="2900" w:type="dxa"/>
            <w:vAlign w:val="bottom"/>
            <w:gridSpan w:val="4"/>
          </w:tcPr>
          <w:p>
            <w:pPr>
              <w:jc w:val="right"/>
              <w:ind w:right="17"/>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88,334</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114,243</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64,142</w:t>
            </w:r>
          </w:p>
        </w:tc>
        <w:tc>
          <w:tcPr>
            <w:tcW w:w="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83,842</w:t>
            </w:r>
          </w:p>
        </w:tc>
        <w:tc>
          <w:tcPr>
            <w:tcW w:w="100" w:type="dxa"/>
            <w:vAlign w:val="bottom"/>
          </w:tcPr>
          <w:p>
            <w:pPr>
              <w:spacing w:after="0"/>
              <w:rPr>
                <w:sz w:val="20"/>
                <w:szCs w:val="20"/>
                <w:color w:val="auto"/>
              </w:rPr>
            </w:pPr>
          </w:p>
        </w:tc>
      </w:tr>
      <w:tr>
        <w:trPr>
          <w:trHeight w:val="237"/>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24,192</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13,702</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26,054</w:t>
            </w:r>
          </w:p>
        </w:tc>
        <w:tc>
          <w:tcPr>
            <w:tcW w:w="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26,052</w:t>
            </w:r>
          </w:p>
        </w:tc>
        <w:tc>
          <w:tcPr>
            <w:tcW w:w="100" w:type="dxa"/>
            <w:vAlign w:val="bottom"/>
          </w:tcPr>
          <w:p>
            <w:pPr>
              <w:spacing w:after="0"/>
              <w:rPr>
                <w:sz w:val="20"/>
                <w:szCs w:val="20"/>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(loss)/income</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(1,862 )</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shd w:val="clear" w:color="auto" w:fill="CFF0FC"/>
          </w:tcPr>
          <w:p>
            <w:pPr>
              <w:spacing w:after="0"/>
              <w:rPr>
                <w:sz w:val="20"/>
                <w:szCs w:val="20"/>
                <w:color w:val="auto"/>
              </w:rPr>
            </w:pPr>
          </w:p>
        </w:tc>
      </w:tr>
      <w:tr>
        <w:trPr>
          <w:trHeight w:val="237"/>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(expense)/income, net:</w:t>
            </w: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(expense)/income, net</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(6 )</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10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(732 )</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(expense)/income, net</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(738 )</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20"/>
                <w:szCs w:val="20"/>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(Loss)/income from operations before income taxes</w:t>
            </w:r>
          </w:p>
        </w:tc>
        <w:tc>
          <w:tcPr>
            <w:tcW w:w="10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(2,600 )</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(494 )</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FF0FC"/>
          </w:tcPr>
          <w:p>
            <w:pPr>
              <w:spacing w:after="0"/>
              <w:rPr>
                <w:sz w:val="21"/>
                <w:szCs w:val="2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(2,106 )</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3,118</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(loss)/income per share:</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 net (loss)/income</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(0.05 )</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 net (loss)/income</w:t>
            </w:r>
          </w:p>
        </w:tc>
        <w:tc>
          <w:tcPr>
            <w:tcW w:w="1020" w:type="dxa"/>
            <w:vAlign w:val="bottom"/>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(0.05 )</w:t>
            </w:r>
          </w:p>
        </w:tc>
        <w:tc>
          <w:tcPr>
            <w:tcW w:w="100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shd w:val="clear" w:color="auto" w:fill="CFF0FC"/>
          </w:tcPr>
          <w:p>
            <w:pPr>
              <w:spacing w:after="0"/>
              <w:rPr>
                <w:sz w:val="21"/>
                <w:szCs w:val="21"/>
                <w:color w:val="auto"/>
              </w:rPr>
            </w:pPr>
          </w:p>
        </w:tc>
      </w:tr>
      <w:tr>
        <w:trPr>
          <w:trHeight w:val="219"/>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0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46,103</w:t>
            </w:r>
          </w:p>
        </w:tc>
        <w:tc>
          <w:tcPr>
            <w:tcW w:w="100" w:type="dxa"/>
            <w:vAlign w:val="bottom"/>
            <w:shd w:val="clear" w:color="auto" w:fill="CFF0FC"/>
          </w:tcPr>
          <w:p>
            <w:pPr>
              <w:spacing w:after="0"/>
              <w:rPr>
                <w:sz w:val="21"/>
                <w:szCs w:val="21"/>
                <w:color w:val="auto"/>
              </w:rPr>
            </w:pPr>
          </w:p>
        </w:tc>
      </w:tr>
      <w:tr>
        <w:trPr>
          <w:trHeight w:val="234"/>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-3037205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-3037205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-2411095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-2411095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-2085340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-2085340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-1450975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-1450975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-1134110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-1134110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-482600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-465455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CHANGES IN STOCKHOLDERS’ EQUITY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ted</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184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nsive</w:t>
            </w:r>
          </w:p>
        </w:tc>
        <w:tc>
          <w:tcPr>
            <w:tcW w:w="1840" w:type="dxa"/>
            <w:vAlign w:val="bottom"/>
            <w:gridSpan w:val="5"/>
            <w:vMerge w:val="continue"/>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ers’</w:t>
            </w:r>
          </w:p>
        </w:tc>
        <w:tc>
          <w:tcPr>
            <w:tcW w:w="0" w:type="dxa"/>
            <w:vAlign w:val="bottom"/>
          </w:tcPr>
          <w:p>
            <w:pPr>
              <w:spacing w:after="0"/>
              <w:rPr>
                <w:sz w:val="1"/>
                <w:szCs w:val="1"/>
                <w:color w:val="auto"/>
              </w:rPr>
            </w:pPr>
          </w:p>
        </w:tc>
      </w:tr>
      <w:tr>
        <w:trPr>
          <w:trHeight w:val="169"/>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20" w:type="dxa"/>
            <w:vAlign w:val="bottom"/>
          </w:tcPr>
          <w:p>
            <w:pPr>
              <w:spacing w:after="0"/>
              <w:rPr>
                <w:sz w:val="14"/>
                <w:szCs w:val="14"/>
                <w:color w:val="auto"/>
              </w:rPr>
            </w:pPr>
          </w:p>
        </w:tc>
        <w:tc>
          <w:tcPr>
            <w:tcW w:w="7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1"/>
        </w:trPr>
        <w:tc>
          <w:tcPr>
            <w:tcW w:w="37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0" w:type="dxa"/>
            <w:vAlign w:val="bottom"/>
            <w:tcBorders>
              <w:top w:val="single" w:sz="8" w:color="auto"/>
            </w:tcBorders>
            <w:shd w:val="clear" w:color="auto" w:fill="CFF0FC"/>
          </w:tcPr>
          <w:p>
            <w:pPr>
              <w:spacing w:after="0"/>
              <w:rPr>
                <w:sz w:val="24"/>
                <w:szCs w:val="24"/>
                <w:color w:val="auto"/>
              </w:rPr>
            </w:pPr>
          </w:p>
        </w:tc>
        <w:tc>
          <w:tcPr>
            <w:tcW w:w="620" w:type="dxa"/>
            <w:vAlign w:val="bottom"/>
            <w:tcBorders>
              <w:top w:val="single" w:sz="8" w:color="auto"/>
            </w:tcBorders>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680" w:type="dxa"/>
            <w:vAlign w:val="bottom"/>
            <w:tcBorders>
              <w:top w:val="single" w:sz="8" w:color="auto"/>
            </w:tcBorders>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680" w:type="dxa"/>
            <w:vAlign w:val="bottom"/>
            <w:tcBorders>
              <w:top w:val="single" w:sz="8" w:color="auto"/>
            </w:tcBorders>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0" w:type="dxa"/>
            <w:vAlign w:val="bottom"/>
            <w:tcBorders>
              <w:top w:val="single" w:sz="8" w:color="auto"/>
            </w:tcBorders>
            <w:shd w:val="clear" w:color="auto" w:fill="CFF0FC"/>
          </w:tcPr>
          <w:p>
            <w:pPr>
              <w:spacing w:after="0"/>
              <w:rPr>
                <w:sz w:val="24"/>
                <w:szCs w:val="24"/>
                <w:color w:val="auto"/>
              </w:rPr>
            </w:pPr>
          </w:p>
        </w:tc>
        <w:tc>
          <w:tcPr>
            <w:tcW w:w="580" w:type="dxa"/>
            <w:vAlign w:val="bottom"/>
            <w:tcBorders>
              <w:top w:val="single" w:sz="8" w:color="auto"/>
            </w:tcBorders>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700" w:type="dxa"/>
            <w:vAlign w:val="bottom"/>
            <w:tcBorders>
              <w:top w:val="single" w:sz="8" w:color="auto"/>
            </w:tcBorders>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40" w:type="dxa"/>
            <w:vAlign w:val="bottom"/>
            <w:tcBorders>
              <w:top w:val="single" w:sz="8" w:color="auto"/>
            </w:tcBorders>
            <w:shd w:val="clear" w:color="auto" w:fill="CFF0FC"/>
          </w:tcPr>
          <w:p>
            <w:pPr>
              <w:spacing w:after="0"/>
              <w:rPr>
                <w:sz w:val="24"/>
                <w:szCs w:val="2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(422,37</w:t>
            </w:r>
          </w:p>
        </w:tc>
        <w:tc>
          <w:tcPr>
            <w:tcW w:w="220" w:type="dxa"/>
            <w:vAlign w:val="bottom"/>
            <w:shd w:val="clear" w:color="auto" w:fill="CFF0FC"/>
          </w:tcPr>
          <w:p>
            <w:pPr>
              <w:spacing w:after="0"/>
              <w:rPr>
                <w:sz w:val="24"/>
                <w:szCs w:val="24"/>
                <w:color w:val="auto"/>
              </w:rPr>
            </w:pPr>
          </w:p>
        </w:tc>
        <w:tc>
          <w:tcPr>
            <w:tcW w:w="700" w:type="dxa"/>
            <w:vAlign w:val="bottom"/>
            <w:tcBorders>
              <w:top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April 30, 2023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75,029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$ 283,666</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$ 523,184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29,040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$ 384,623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2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surrendered</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(766 )</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(766 )</w:t>
            </w: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issued ($0.12 per common share)</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(5,536 )</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(5,536 )</w:t>
            </w:r>
          </w:p>
        </w:tc>
        <w:tc>
          <w:tcPr>
            <w:tcW w:w="0" w:type="dxa"/>
            <w:vAlign w:val="bottom"/>
          </w:tcPr>
          <w:p>
            <w:pPr>
              <w:spacing w:after="0"/>
              <w:rPr>
                <w:sz w:val="1"/>
                <w:szCs w:val="1"/>
                <w:color w:val="auto"/>
              </w:rPr>
            </w:pPr>
          </w:p>
        </w:tc>
      </w:tr>
      <w:tr>
        <w:trPr>
          <w:trHeight w:val="23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7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(422,37</w:t>
            </w: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July 31, 2023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75,184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$ 284,176</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$ 520,766</w:t>
            </w:r>
          </w:p>
        </w:tc>
        <w:tc>
          <w:tcPr>
            <w:tcW w:w="2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$ 382,715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(432,64</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April 30, 2024</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75,395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$ 289,994</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$ 540,660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29,834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$ 398,160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2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surrendered</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(1,058 )</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(1,057 )</w:t>
            </w: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(12,958 )</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(12,958 )</w:t>
            </w:r>
          </w:p>
        </w:tc>
        <w:tc>
          <w:tcPr>
            <w:tcW w:w="0" w:type="dxa"/>
            <w:vAlign w:val="bottom"/>
          </w:tcPr>
          <w:p>
            <w:pPr>
              <w:spacing w:after="0"/>
              <w:rPr>
                <w:sz w:val="1"/>
                <w:szCs w:val="1"/>
                <w:color w:val="auto"/>
              </w:rPr>
            </w:pPr>
          </w:p>
        </w:tc>
      </w:tr>
      <w:tr>
        <w:trPr>
          <w:trHeight w:val="23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Unpaid dividend accrued</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issued ($0.13 per common share)</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(5,886 )</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(5,886 )</w:t>
            </w:r>
          </w:p>
        </w:tc>
        <w:tc>
          <w:tcPr>
            <w:tcW w:w="0" w:type="dxa"/>
            <w:vAlign w:val="bottom"/>
          </w:tcPr>
          <w:p>
            <w:pPr>
              <w:spacing w:after="0"/>
              <w:rPr>
                <w:sz w:val="1"/>
                <w:szCs w:val="1"/>
                <w:color w:val="auto"/>
              </w:rPr>
            </w:pPr>
          </w:p>
        </w:tc>
      </w:tr>
      <w:tr>
        <w:trPr>
          <w:trHeight w:val="23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(2,106 )</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(2,106 )</w:t>
            </w:r>
          </w:p>
        </w:tc>
        <w:tc>
          <w:tcPr>
            <w:tcW w:w="0" w:type="dxa"/>
            <w:vAlign w:val="bottom"/>
          </w:tcPr>
          <w:p>
            <w:pPr>
              <w:spacing w:after="0"/>
              <w:rPr>
                <w:sz w:val="1"/>
                <w:szCs w:val="1"/>
                <w:color w:val="auto"/>
              </w:rPr>
            </w:pPr>
          </w:p>
        </w:tc>
      </w:tr>
      <w:tr>
        <w:trPr>
          <w:trHeight w:val="199"/>
        </w:trPr>
        <w:tc>
          <w:tcPr>
            <w:tcW w:w="37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(445,60</w:t>
            </w: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July 31, 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75,552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$ 290,790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$ 532,647</w:t>
            </w:r>
          </w:p>
        </w:tc>
        <w:tc>
          <w:tcPr>
            <w:tcW w:w="2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$ 377,986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-2167890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-2167890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-2167890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-2167890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-2167890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-2167890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-2167890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-307975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-307975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-307975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-307975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-307975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-307975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-307975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56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(In</w:t>
            </w:r>
          </w:p>
        </w:tc>
        <w:tc>
          <w:tcPr>
            <w:tcW w:w="1340" w:type="dxa"/>
            <w:vAlign w:val="bottom"/>
            <w:gridSpan w:val="2"/>
          </w:tcPr>
          <w:p>
            <w:pPr>
              <w:jc w:val="right"/>
              <w:ind w:right="697"/>
              <w:spacing w:after="0"/>
              <w:rPr>
                <w:sz w:val="20"/>
                <w:szCs w:val="20"/>
                <w:color w:val="auto"/>
              </w:rPr>
            </w:pPr>
            <w:r>
              <w:rPr>
                <w:rFonts w:ascii="Times New Roman" w:cs="Times New Roman" w:eastAsia="Times New Roman" w:hAnsi="Times New Roman"/>
                <w:sz w:val="14"/>
                <w:szCs w:val="14"/>
                <w:color w:val="auto"/>
                <w:w w:val="88"/>
              </w:rPr>
              <w:t>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(loss)/income</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(2,106 )</w:t>
            </w: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(loss)/income to net cash (used in)/provided by operating activities:</w:t>
            </w: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8,048</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(Gain)/loss on sale/disposition of assets</w:t>
            </w:r>
          </w:p>
        </w:tc>
        <w:tc>
          <w:tcPr>
            <w:tcW w:w="10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(58 )</w:t>
            </w: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Provision for losses/(recoveries) on notes and accounts receivable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Accounts receivable</w:t>
            </w: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11,305</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26,995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Inventories</w:t>
            </w:r>
          </w:p>
        </w:tc>
        <w:tc>
          <w:tcPr>
            <w:tcW w:w="1040" w:type="dxa"/>
            <w:vAlign w:val="bottom"/>
          </w:tcPr>
          <w:p>
            <w:pPr>
              <w:spacing w:after="0"/>
              <w:rPr>
                <w:sz w:val="19"/>
                <w:szCs w:val="19"/>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(29,315 )</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(4,066 )</w:t>
            </w:r>
          </w:p>
        </w:tc>
        <w:tc>
          <w:tcPr>
            <w:tcW w:w="10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(3,825 )</w:t>
            </w:r>
          </w:p>
        </w:tc>
        <w:tc>
          <w:tcPr>
            <w:tcW w:w="0" w:type="dxa"/>
            <w:vAlign w:val="bottom"/>
          </w:tcPr>
          <w:p>
            <w:pPr>
              <w:spacing w:after="0"/>
              <w:rPr>
                <w:sz w:val="1"/>
                <w:szCs w:val="1"/>
                <w:color w:val="auto"/>
              </w:rPr>
            </w:pPr>
          </w:p>
        </w:tc>
      </w:tr>
      <w:tr>
        <w:trPr>
          <w:trHeight w:val="226"/>
        </w:trPr>
        <w:tc>
          <w:tcPr>
            <w:tcW w:w="7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Income taxes</w:t>
            </w:r>
          </w:p>
        </w:tc>
        <w:tc>
          <w:tcPr>
            <w:tcW w:w="1040" w:type="dxa"/>
            <w:vAlign w:val="bottom"/>
          </w:tcPr>
          <w:p>
            <w:pPr>
              <w:spacing w:after="0"/>
              <w:rPr>
                <w:sz w:val="19"/>
                <w:szCs w:val="19"/>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(688 )</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(11,740 )</w:t>
            </w:r>
          </w:p>
        </w:tc>
        <w:tc>
          <w:tcPr>
            <w:tcW w:w="10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(1,838 )</w:t>
            </w:r>
          </w:p>
        </w:tc>
        <w:tc>
          <w:tcPr>
            <w:tcW w:w="0" w:type="dxa"/>
            <w:vAlign w:val="bottom"/>
          </w:tcPr>
          <w:p>
            <w:pPr>
              <w:spacing w:after="0"/>
              <w:rPr>
                <w:sz w:val="1"/>
                <w:szCs w:val="1"/>
                <w:color w:val="auto"/>
              </w:rPr>
            </w:pPr>
          </w:p>
        </w:tc>
      </w:tr>
      <w:tr>
        <w:trPr>
          <w:trHeight w:val="226"/>
        </w:trPr>
        <w:tc>
          <w:tcPr>
            <w:tcW w:w="7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1040" w:type="dxa"/>
            <w:vAlign w:val="bottom"/>
          </w:tcPr>
          <w:p>
            <w:pPr>
              <w:spacing w:after="0"/>
              <w:rPr>
                <w:sz w:val="19"/>
                <w:szCs w:val="19"/>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(4,839 )</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Accrued profit sharing</w:t>
            </w:r>
          </w:p>
        </w:tc>
        <w:tc>
          <w:tcPr>
            <w:tcW w:w="10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(4,135 )</w:t>
            </w: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Accrued warranty</w:t>
            </w:r>
          </w:p>
        </w:tc>
        <w:tc>
          <w:tcPr>
            <w:tcW w:w="10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(70 )</w:t>
            </w: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Other assets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5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0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3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Net cash (used in)/provided by operating activities</w:t>
            </w:r>
          </w:p>
        </w:tc>
        <w:tc>
          <w:tcPr>
            <w:tcW w:w="1040" w:type="dxa"/>
            <w:vAlign w:val="bottom"/>
          </w:tcPr>
          <w:p>
            <w:pPr>
              <w:spacing w:after="0"/>
              <w:rPr>
                <w:sz w:val="19"/>
                <w:szCs w:val="19"/>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(30,815 )</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to acquire patents and software</w:t>
            </w:r>
          </w:p>
        </w:tc>
        <w:tc>
          <w:tcPr>
            <w:tcW w:w="1040" w:type="dxa"/>
            <w:vAlign w:val="bottom"/>
          </w:tcPr>
          <w:p>
            <w:pPr>
              <w:spacing w:after="0"/>
              <w:rPr>
                <w:sz w:val="19"/>
                <w:szCs w:val="19"/>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(21 )</w:t>
            </w:r>
          </w:p>
        </w:tc>
        <w:tc>
          <w:tcPr>
            <w:tcW w:w="10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to acquire property and equipment</w:t>
            </w:r>
          </w:p>
        </w:tc>
        <w:tc>
          <w:tcPr>
            <w:tcW w:w="1040" w:type="dxa"/>
            <w:vAlign w:val="bottom"/>
          </w:tcPr>
          <w:p>
            <w:pPr>
              <w:spacing w:after="0"/>
              <w:rPr>
                <w:sz w:val="19"/>
                <w:szCs w:val="19"/>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(4,702 )</w:t>
            </w:r>
          </w:p>
        </w:tc>
        <w:tc>
          <w:tcPr>
            <w:tcW w:w="10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(32,057 )</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(4,665 )</w:t>
            </w: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(32,067 )</w:t>
            </w:r>
          </w:p>
        </w:tc>
        <w:tc>
          <w:tcPr>
            <w:tcW w:w="0" w:type="dxa"/>
            <w:vAlign w:val="bottom"/>
          </w:tcPr>
          <w:p>
            <w:pPr>
              <w:spacing w:after="0"/>
              <w:rPr>
                <w:sz w:val="1"/>
                <w:szCs w:val="1"/>
                <w:color w:val="auto"/>
              </w:rPr>
            </w:pPr>
          </w:p>
        </w:tc>
      </w:tr>
      <w:tr>
        <w:trPr>
          <w:trHeight w:val="220"/>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loans and notes payable</w:t>
            </w: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on finance lease obligation</w:t>
            </w:r>
          </w:p>
        </w:tc>
        <w:tc>
          <w:tcPr>
            <w:tcW w:w="1040" w:type="dxa"/>
            <w:vAlign w:val="bottom"/>
          </w:tcPr>
          <w:p>
            <w:pPr>
              <w:spacing w:after="0"/>
              <w:rPr>
                <w:sz w:val="19"/>
                <w:szCs w:val="19"/>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(44 )</w:t>
            </w:r>
          </w:p>
        </w:tc>
        <w:tc>
          <w:tcPr>
            <w:tcW w:w="10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(338 )</w:t>
            </w: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Payments to acquire treasury stock</w:t>
            </w:r>
          </w:p>
        </w:tc>
        <w:tc>
          <w:tcPr>
            <w:tcW w:w="10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(12,856 )</w:t>
            </w:r>
          </w:p>
        </w:tc>
        <w:tc>
          <w:tcPr>
            <w:tcW w:w="10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Dividend distribution</w:t>
            </w:r>
          </w:p>
        </w:tc>
        <w:tc>
          <w:tcPr>
            <w:tcW w:w="1040" w:type="dxa"/>
            <w:vAlign w:val="bottom"/>
          </w:tcPr>
          <w:p>
            <w:pPr>
              <w:spacing w:after="0"/>
              <w:rPr>
                <w:sz w:val="19"/>
                <w:szCs w:val="19"/>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(5,886 )</w:t>
            </w:r>
          </w:p>
        </w:tc>
        <w:tc>
          <w:tcPr>
            <w:tcW w:w="10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(5,536 )</w:t>
            </w:r>
          </w:p>
        </w:tc>
        <w:tc>
          <w:tcPr>
            <w:tcW w:w="0" w:type="dxa"/>
            <w:vAlign w:val="bottom"/>
          </w:tcPr>
          <w:p>
            <w:pPr>
              <w:spacing w:after="0"/>
              <w:rPr>
                <w:sz w:val="1"/>
                <w:szCs w:val="1"/>
                <w:color w:val="auto"/>
              </w:rPr>
            </w:pPr>
          </w:p>
        </w:tc>
      </w:tr>
      <w:tr>
        <w:trPr>
          <w:trHeight w:val="198"/>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Payment of employee withholding tax related to</w:t>
            </w:r>
          </w:p>
        </w:tc>
        <w:tc>
          <w:tcPr>
            <w:tcW w:w="104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(1,058 )</w:t>
            </w:r>
          </w:p>
        </w:tc>
        <w:tc>
          <w:tcPr>
            <w:tcW w:w="1040" w:type="dxa"/>
            <w:vAlign w:val="bottom"/>
            <w:shd w:val="clear" w:color="auto" w:fill="CFF0FC"/>
          </w:tcPr>
          <w:p>
            <w:pPr>
              <w:spacing w:after="0"/>
              <w:rPr>
                <w:sz w:val="17"/>
                <w:szCs w:val="17"/>
                <w:color w:val="auto"/>
              </w:rPr>
            </w:pPr>
          </w:p>
        </w:tc>
        <w:tc>
          <w:tcPr>
            <w:tcW w:w="7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(766 )</w:t>
            </w: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restricted stock units</w:t>
            </w:r>
          </w:p>
        </w:tc>
        <w:tc>
          <w:tcPr>
            <w:tcW w:w="1040" w:type="dxa"/>
            <w:vAlign w:val="bottom"/>
            <w:shd w:val="clear" w:color="auto" w:fill="CFF0FC"/>
          </w:tcPr>
          <w:p>
            <w:pPr>
              <w:spacing w:after="0"/>
              <w:rPr>
                <w:sz w:val="19"/>
                <w:szCs w:val="19"/>
                <w:color w:val="auto"/>
              </w:rPr>
            </w:pPr>
          </w:p>
        </w:tc>
        <w:tc>
          <w:tcPr>
            <w:tcW w:w="900" w:type="dxa"/>
            <w:vAlign w:val="bottom"/>
            <w:gridSpan w:val="2"/>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Net cash provided by/(used in) financing activities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10,156</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(6,640 )</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(decrease)/increase in cash and cash equivalents</w:t>
            </w:r>
          </w:p>
        </w:tc>
        <w:tc>
          <w:tcPr>
            <w:tcW w:w="10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(25,324 )</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60,839</w:t>
            </w:r>
          </w:p>
        </w:tc>
        <w:tc>
          <w:tcPr>
            <w:tcW w:w="3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35,515</w:t>
            </w:r>
          </w:p>
        </w:tc>
        <w:tc>
          <w:tcPr>
            <w:tcW w:w="3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55,479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paid for:</w:t>
            </w: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Interest, net of amounts capitalized</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300" w:type="dxa"/>
            <w:vAlign w:val="bottom"/>
          </w:tcPr>
          <w:p>
            <w:pPr>
              <w:spacing w:after="0"/>
              <w:rPr>
                <w:sz w:val="19"/>
                <w:szCs w:val="19"/>
                <w:color w:val="auto"/>
              </w:rPr>
            </w:pPr>
          </w:p>
        </w:tc>
        <w:tc>
          <w:tcPr>
            <w:tcW w:w="104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Income taxes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-3119755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-2219325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-1216660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-607695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-590550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CASH FLOWS - (Continued) (Unaudited)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(In</w:t>
            </w:r>
          </w:p>
        </w:tc>
        <w:tc>
          <w:tcPr>
            <w:tcW w:w="130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color w:val="auto"/>
                <w:w w:val="82"/>
              </w:rPr>
              <w:t>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08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13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17,144</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lease included in accrued expenses and finance lease payable</w:t>
            </w:r>
          </w:p>
        </w:tc>
        <w:tc>
          <w:tcPr>
            <w:tcW w:w="10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are one of the world’s leading manufacturers and designers of firearms. We manufacture a wide array of handguns (including revolvers and pistols), long guns (including modern sporting rifles, pistol caliber carbines, and lever action rifles), handcuffs, firearm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and Gemtech brands. We manufacture our products at our facilities in Springfield, Massachusetts; Houlton, Maine; </w:t>
      </w:r>
      <w:r>
        <w:rPr>
          <w:rFonts w:ascii="Times New Roman" w:cs="Times New Roman" w:eastAsia="Times New Roman" w:hAnsi="Times New Roman"/>
          <w:sz w:val="18"/>
          <w:szCs w:val="18"/>
          <w:color w:val="161616"/>
        </w:rPr>
        <w:t>Deep River, Connecticut;</w:t>
      </w:r>
      <w:r>
        <w:rPr>
          <w:rFonts w:ascii="Times New Roman" w:cs="Times New Roman" w:eastAsia="Times New Roman" w:hAnsi="Times New Roman"/>
          <w:sz w:val="18"/>
          <w:szCs w:val="18"/>
          <w:color w:val="auto"/>
        </w:rPr>
        <w:t xml:space="preserve"> and Maryville, Tennessee. We also sell our manufacturing services to other businesses to attempt to level-load our factories. We sell those services under our Smith &amp; Wesson and Smith &amp; Wesson Precision Components brands. During fiscal 2024, we began manufacturing and distribution activities from our new Maryville facility. See Note 9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10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more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Interim Financial Information – </w:t>
      </w:r>
      <w:r>
        <w:rPr>
          <w:rFonts w:ascii="Times New Roman" w:cs="Times New Roman" w:eastAsia="Times New Roman" w:hAnsi="Times New Roman"/>
          <w:sz w:val="18"/>
          <w:szCs w:val="18"/>
          <w:color w:val="auto"/>
        </w:rPr>
        <w:t>The condensed consolidated balance sheet as of July 31, 2024, the condensed consolidated statements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July 31, 2024 and 2023, the condensed consolidated statements of changes in stockholders’ equity for the three months ended July 31, 2024 and 2023, and the condensed consolidated statements of cash flows for the three months ended July 31, 2024 and 2023 have been prepared by us without audit. In our opinion, all adjustments, which include only normal recurring adjustments necessary to fairly present the financial position, results of operations, changes in stockholders’ equity, and cash flows for the three months ended July 31, 2024 and for the periods presented, have been included. All intercompany transactions have been eliminated in consolidation. The consolidated balance sheet as of April 30, 2024 has been derived from our audited consolidated financial statements.</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Fiscal 2024 Form 10-K. The results of operations for the three months ended July 31, 2024 may not be indicative of the results that may be expected for the fiscal year ending April 30, 2025, or any other period.</w:t>
      </w:r>
    </w:p>
    <w:p>
      <w:pPr>
        <w:spacing w:after="0" w:line="1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 </w:t>
      </w:r>
      <w:r>
        <w:rPr>
          <w:rFonts w:ascii="Times New Roman" w:cs="Times New Roman" w:eastAsia="Times New Roman" w:hAnsi="Times New Roman"/>
          <w:sz w:val="18"/>
          <w:szCs w:val="18"/>
          <w:color w:val="auto"/>
        </w:rPr>
        <w:t>In November 2023, the Financial Accounting Standards Board, or FASB, issued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("ASU") No. 2023-07, Improvements to Reportable Segment Disclosures, which requires incremental disclosures about an entity’s reportable segments but does not change the definition of a segment or the guidance for determining reportable segments. The new guidance requires disclosure of significant segment expenses that are (1) regularly provided to (or easily computed from information regularly provided to) the chief operating decision maker and (2) included in the reported measure of segment profit or loss. The new standard also allows companies to disclose multiple measures of segment profit or loss if those measures are used to assess performance and allocate resources. This update is effective for fiscal years beginning after December 31, 2023, or fiscal 2025 for us, and should be adopted retrospectively unless impracticable. We are currently evaluating the impact, if any, that the adoption of this standard will have on financial disclosures.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which requires entities to disclose in their rate reconciliation table additional categories of information about federal, state, and foreign income taxes and provide more details about the reconciling items in some categories if items meet a quantitative threshold. Entities would have to provide qualitative disclosures about the new categories. The guidance will require all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Entities are required to apply the guidance prospectively, with the option to apply it retrospectively. The guidance is effective for annual periods beginning after December 15, 2024, or fiscal 2026 for us. We are currently evaluating the impact, if any, that the adoption of this standard will have on financial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lease certain of our real estate, machinery, equipment, and photocopiers under non-cancelable operating and finance lease agreements.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expenses for our operating lease assets and liabilities at the commencement date based on the present value of lease payments over the lease term. Our leases do not provide an implicit interest rate. We use our incremental borrowing rate based on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2024 and 2023</w:t>
      </w: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available at the lease commencement date in determining the present value of lease payments. Our lease agreements do not require material variable lease payments or residual value guarantees, nor do they include restrictive covenants. For operating leases, we recognize expense on a straight-line basis over the lease term. Tenant improvement allowances are recorded as an offsetting adjustment included in our calculation of the respective right-of-use asset.</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Many of our leases include renewal options that enable us to extend the lease term. The execution of those renewal options is at our sole discretion and renewals are reflected in the lease term when they are reasonably certain to be exercised. The depreciable life of assets and leasehold improvements are limited by the expected lease term.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amounts of assets and liabilities related to our operating and financing leases as of July 31, 2024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390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00" w:type="dxa"/>
            <w:vAlign w:val="bottom"/>
          </w:tcPr>
          <w:p>
            <w:pPr>
              <w:spacing w:after="0"/>
              <w:rPr>
                <w:sz w:val="16"/>
                <w:szCs w:val="16"/>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April 30, 2024</w:t>
            </w:r>
          </w:p>
        </w:tc>
      </w:tr>
      <w:tr>
        <w:trPr>
          <w:trHeight w:val="23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90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900" w:type="dxa"/>
            <w:vAlign w:val="bottom"/>
          </w:tcPr>
          <w:p>
            <w:pPr>
              <w:spacing w:after="0"/>
              <w:rPr>
                <w:sz w:val="20"/>
                <w:szCs w:val="20"/>
                <w:color w:val="auto"/>
              </w:rPr>
            </w:pP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100" w:type="dxa"/>
            <w:vAlign w:val="bottom"/>
          </w:tcPr>
          <w:p>
            <w:pPr>
              <w:spacing w:after="0"/>
              <w:rPr>
                <w:sz w:val="20"/>
                <w:szCs w:val="20"/>
                <w:color w:val="auto"/>
              </w:rPr>
            </w:pP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(5,411 )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(5,411 )</w:t>
            </w:r>
          </w:p>
        </w:tc>
      </w:tr>
      <w:tr>
        <w:trPr>
          <w:trHeight w:val="236"/>
        </w:trPr>
        <w:tc>
          <w:tcPr>
            <w:tcW w:w="38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Right-of-use assets, net</w:t>
            </w:r>
          </w:p>
        </w:tc>
        <w:tc>
          <w:tcPr>
            <w:tcW w:w="3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top w:val="single" w:sz="8" w:color="CFF0FC"/>
            </w:tcBorders>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880" w:type="dxa"/>
            <w:vAlign w:val="bottom"/>
            <w:shd w:val="clear" w:color="auto" w:fill="CFF0FC"/>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0"/>
                <w:szCs w:val="20"/>
                <w:color w:val="auto"/>
              </w:rPr>
            </w:pPr>
          </w:p>
        </w:tc>
      </w:tr>
      <w:tr>
        <w:trPr>
          <w:trHeight w:val="247"/>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900" w:type="dxa"/>
            <w:vAlign w:val="bottom"/>
          </w:tcPr>
          <w:p>
            <w:pPr>
              <w:spacing w:after="0"/>
              <w:rPr>
                <w:sz w:val="20"/>
                <w:szCs w:val="20"/>
                <w:color w:val="auto"/>
              </w:rPr>
            </w:pP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900" w:type="dxa"/>
            <w:vAlign w:val="bottom"/>
          </w:tcPr>
          <w:p>
            <w:pPr>
              <w:spacing w:after="0"/>
              <w:rPr>
                <w:sz w:val="20"/>
                <w:szCs w:val="20"/>
                <w:color w:val="auto"/>
              </w:rPr>
            </w:pP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100" w:type="dxa"/>
            <w:vAlign w:val="bottom"/>
          </w:tcPr>
          <w:p>
            <w:pPr>
              <w:spacing w:after="0"/>
              <w:rPr>
                <w:sz w:val="20"/>
                <w:szCs w:val="20"/>
                <w:color w:val="auto"/>
              </w:rPr>
            </w:pP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(11,279 )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(11,713 )</w:t>
            </w:r>
          </w:p>
        </w:tc>
      </w:tr>
      <w:tr>
        <w:trPr>
          <w:trHeight w:val="237"/>
        </w:trPr>
        <w:tc>
          <w:tcPr>
            <w:tcW w:w="38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Right-of-use assets, net</w:t>
            </w:r>
          </w:p>
        </w:tc>
        <w:tc>
          <w:tcPr>
            <w:tcW w:w="3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30,352</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100" w:type="dxa"/>
            <w:vAlign w:val="bottom"/>
            <w:tcBorders>
              <w:top w:val="single" w:sz="8" w:color="CFF0FC"/>
            </w:tcBorders>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880" w:type="dxa"/>
            <w:vAlign w:val="bottom"/>
            <w:shd w:val="clear" w:color="auto" w:fill="CFF0FC"/>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20"/>
                <w:szCs w:val="20"/>
                <w:color w:val="auto"/>
              </w:rPr>
            </w:pPr>
          </w:p>
        </w:tc>
      </w:tr>
      <w:tr>
        <w:trPr>
          <w:trHeight w:val="247"/>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payable, net of current portion</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34,994</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900" w:type="dxa"/>
            <w:vAlign w:val="bottom"/>
          </w:tcPr>
          <w:p>
            <w:pPr>
              <w:spacing w:after="0"/>
              <w:rPr>
                <w:sz w:val="20"/>
                <w:szCs w:val="20"/>
                <w:color w:val="auto"/>
              </w:rPr>
            </w:pP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36,968</w:t>
            </w:r>
          </w:p>
        </w:tc>
        <w:tc>
          <w:tcPr>
            <w:tcW w:w="10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-2142490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-1490980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-839470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July 31, 2024, we recorded $324,000 of operating lease costs. We recorded $566,000 of finance lease amortization and $461,000 of financing lease interest expense for the three months ended July 31, 2024. As of July 31, 2024, our weighted average lease term and weighted average discount rate for our operating leases was 2.2 years and 4.5%, respectively. As of July 31, 2024, our weighted average lease term and weighted average discount rate for our financing leases were 14.1 years and 5.0%, respectively, and consisted primarily of the facility in Missouri from which we previously operated a distribution center, or the Missouri Distribution Center. The building associated with the Missouri Distribution Center is pledged to secure the amounts outstanding. The depreciable lives of right-of-use assets are limited by the lease term and are amortized on a straight-line basis over the life of the lease.</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October 26, 2017, we entered into (a) a lease agreement with Ryan Boone County, LLC, or the Original Missouri Landlord, concerning certain real property located in Boone County, Missouri on which we had, until recently, been operating the Missouri Distribution Center, or the Missouri Lease, and (b) a guaranty in favor of the Original Missouri Landlord, or the Guaranty. With the completion of the spin-off of our outdoor products and accessories business on August 24, 2020, or the Separation, we entered into a sublease whereby American Outdoor Brands, Inc., our former wholly owned subsidiary, or AOUT, subleased from us 59.0% of the Missouri Distribution Center under the same terms as the Missouri Lease, or the Missouri Sublease. On July 16, 2022, we entered into an amendment to the Missouri Sublease, increasing the leased space to 64.7% of the Missouri Distribution Center under the same terms as the Missouri Lease. On January 31, 2023, we entered into (i) an assignment and assumption agreement with AOUT, or the Assignment and Assumption Agreement, pursuant to which, on January 1, 2024 AOUT assumed all of our rights, entitlement, and obligations in, to, and under the Missouri Lease, and (ii) an amended and restated guaranty in favor of RCS-S&amp;W Facility, LLC, as successor in interest to the Original Missouri Landlord, pursuant to which Smith &amp; Wesson Sales Company was added as a guarantor, or the Amended and Restated Guaranty. We terminated the Missouri Sublease as of January 1, 2024. During the three months ended July 31, 2024, the finance lease liability relating to the Missouri Lease was reduced by $366,000 as a result of payments made by AOUT directly to the landlord. During the three months ended July 31, 2024, we recognized $878,000 of related income, of which $424,000 was recorded in general and administrative expenses and $454,000 was recorded in interest expense, net, in our condensed consolidated statements of operations.</w:t>
      </w:r>
    </w:p>
    <w:p>
      <w:pPr>
        <w:sectPr>
          <w:pgSz w:w="11900" w:h="16838" w:orient="portrait"/>
          <w:cols w:equalWidth="0" w:num="1">
            <w:col w:w="11240"/>
          </w:cols>
          <w:pgMar w:left="320" w:top="765" w:right="33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 w:name="page11"/>
    <w:bookmarkEnd w:id="10"/>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2024 and 2023</w:t>
      </w:r>
    </w:p>
    <w:p>
      <w:pPr>
        <w:spacing w:after="0" w:line="39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January 5, 2024, we entered into an amendment to the lease for our Deep River facility, pursuant to which we extended its term from May 4, 2024 to January 4, 2025. We intend to occupy the facility at least through the amended lease termination date. We do not currently believe there are any indications of impairment relating to assets being utilized at the Deep River facility.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future expected undiscounted cashflows, based on the Assignment and Assumption Agreement with AOUT, to be received on an annual basis for the next five years and thereafter, as of July 31, 2024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FF0FC"/>
          </w:tcPr>
          <w:p>
            <w:pPr>
              <w:spacing w:after="0"/>
              <w:rPr>
                <w:sz w:val="20"/>
                <w:szCs w:val="20"/>
                <w:color w:val="auto"/>
              </w:rPr>
            </w:pPr>
          </w:p>
        </w:tc>
      </w:tr>
      <w:tr>
        <w:trPr>
          <w:trHeight w:val="23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shd w:val="clear" w:color="auto" w:fill="CFF0FC"/>
          </w:tcPr>
          <w:p>
            <w:pPr>
              <w:spacing w:after="0"/>
              <w:rPr>
                <w:sz w:val="21"/>
                <w:szCs w:val="21"/>
                <w:color w:val="auto"/>
              </w:rPr>
            </w:pP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35,498</w:t>
            </w:r>
          </w:p>
        </w:tc>
        <w:tc>
          <w:tcPr>
            <w:tcW w:w="100" w:type="dxa"/>
            <w:vAlign w:val="bottom"/>
          </w:tcPr>
          <w:p>
            <w:pPr>
              <w:spacing w:after="0"/>
              <w:rPr>
                <w:sz w:val="21"/>
                <w:szCs w:val="21"/>
                <w:color w:val="auto"/>
              </w:rPr>
            </w:pPr>
          </w:p>
        </w:tc>
      </w:tr>
      <w:tr>
        <w:trPr>
          <w:trHeight w:val="23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receipts</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51,175</w:t>
            </w:r>
          </w:p>
        </w:tc>
        <w:tc>
          <w:tcPr>
            <w:tcW w:w="100" w:type="dxa"/>
            <w:vAlign w:val="bottom"/>
            <w:shd w:val="clear" w:color="auto" w:fill="CFF0FC"/>
          </w:tcPr>
          <w:p>
            <w:pPr>
              <w:spacing w:after="0"/>
              <w:rPr>
                <w:sz w:val="20"/>
                <w:szCs w:val="20"/>
                <w:color w:val="auto"/>
              </w:rPr>
            </w:pP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(15,154 )</w:t>
            </w:r>
          </w:p>
        </w:tc>
      </w:tr>
      <w:tr>
        <w:trPr>
          <w:trHeight w:val="277"/>
        </w:trPr>
        <w:tc>
          <w:tcPr>
            <w:tcW w:w="6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receipts</w:t>
            </w:r>
          </w:p>
        </w:tc>
        <w:tc>
          <w:tcPr>
            <w:tcW w:w="2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gridSpan w:val="2"/>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3"/>
        </w:trPr>
        <w:tc>
          <w:tcPr>
            <w:tcW w:w="988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Future lease payments for all of our operating and finance leases for succeeding fiscal years is as follows (in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20" w:type="dxa"/>
            <w:vAlign w:val="bottom"/>
          </w:tcPr>
          <w:p>
            <w:pPr>
              <w:spacing w:after="0"/>
              <w:rPr>
                <w:sz w:val="24"/>
                <w:szCs w:val="24"/>
                <w:color w:val="auto"/>
              </w:rPr>
            </w:pPr>
          </w:p>
        </w:tc>
        <w:tc>
          <w:tcPr>
            <w:tcW w:w="12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300" w:type="dxa"/>
            <w:vAlign w:val="bottom"/>
          </w:tcPr>
          <w:p>
            <w:pPr>
              <w:spacing w:after="0"/>
              <w:rPr>
                <w:sz w:val="24"/>
                <w:szCs w:val="24"/>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CFF0FC"/>
          </w:tcPr>
          <w:p>
            <w:pPr>
              <w:spacing w:after="0"/>
              <w:rPr>
                <w:sz w:val="20"/>
                <w:szCs w:val="20"/>
                <w:color w:val="auto"/>
              </w:rPr>
            </w:pPr>
          </w:p>
        </w:tc>
      </w:tr>
      <w:tr>
        <w:trPr>
          <w:trHeight w:val="23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FF0FC"/>
          </w:tcPr>
          <w:p>
            <w:pPr>
              <w:spacing w:after="0"/>
              <w:rPr>
                <w:sz w:val="21"/>
                <w:szCs w:val="21"/>
                <w:color w:val="auto"/>
              </w:rPr>
            </w:pPr>
          </w:p>
        </w:tc>
      </w:tr>
      <w:tr>
        <w:trPr>
          <w:trHeight w:val="23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20"/>
                <w:szCs w:val="20"/>
                <w:color w:val="auto"/>
              </w:rPr>
            </w:pPr>
          </w:p>
        </w:tc>
      </w:tr>
      <w:tr>
        <w:trPr>
          <w:trHeight w:val="24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shd w:val="clear" w:color="auto" w:fill="CFF0FC"/>
          </w:tcPr>
          <w:p>
            <w:pPr>
              <w:spacing w:after="0"/>
              <w:rPr>
                <w:sz w:val="21"/>
                <w:szCs w:val="21"/>
                <w:color w:val="auto"/>
              </w:rPr>
            </w:pP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35,499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35,499</w:t>
            </w:r>
          </w:p>
        </w:tc>
        <w:tc>
          <w:tcPr>
            <w:tcW w:w="100" w:type="dxa"/>
            <w:vAlign w:val="bottom"/>
          </w:tcPr>
          <w:p>
            <w:pPr>
              <w:spacing w:after="0"/>
              <w:rPr>
                <w:sz w:val="21"/>
                <w:szCs w:val="21"/>
                <w:color w:val="auto"/>
              </w:rPr>
            </w:pPr>
          </w:p>
        </w:tc>
      </w:tr>
      <w:tr>
        <w:trPr>
          <w:trHeight w:val="23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51,794</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100" w:type="dxa"/>
            <w:vAlign w:val="bottom"/>
            <w:shd w:val="clear" w:color="auto" w:fill="CFF0FC"/>
          </w:tcPr>
          <w:p>
            <w:pPr>
              <w:spacing w:after="0"/>
              <w:rPr>
                <w:sz w:val="20"/>
                <w:szCs w:val="20"/>
                <w:color w:val="auto"/>
              </w:rPr>
            </w:pP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(205 )</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(15,203 )</w:t>
            </w: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(15,408 )</w:t>
            </w:r>
          </w:p>
        </w:tc>
      </w:tr>
      <w:tr>
        <w:trPr>
          <w:trHeight w:val="23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37,768</w:t>
            </w:r>
          </w:p>
        </w:tc>
        <w:tc>
          <w:tcPr>
            <w:tcW w:w="100" w:type="dxa"/>
            <w:vAlign w:val="bottom"/>
            <w:shd w:val="clear" w:color="auto" w:fill="CFF0FC"/>
          </w:tcPr>
          <w:p>
            <w:pPr>
              <w:spacing w:after="0"/>
              <w:rPr>
                <w:sz w:val="20"/>
                <w:szCs w:val="20"/>
                <w:color w:val="auto"/>
              </w:rPr>
            </w:pP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 of lease liabilities</w:t>
            </w: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(687 )</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(1,597 )</w:t>
            </w: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(2,284 )</w:t>
            </w:r>
          </w:p>
        </w:tc>
      </w:tr>
      <w:tr>
        <w:trPr>
          <w:trHeight w:val="277"/>
        </w:trPr>
        <w:tc>
          <w:tcPr>
            <w:tcW w:w="6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maturities of lease liabilities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34,994</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2024, the cash paid for amounts included in the measurement of liabilities and operating cash flows was $393,000.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Notes and Loans Payable:</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August 24, 2020, we and certain of our subsidiaries entered into an amended and restated credit agreement, or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Credit Agreement, with certain lenders, including TD Bank, N.A., as administrative agent; TD Securities (USA) LLC and Regions Bank, as joint lead arrangers and joint bookrunners; and Regions Bank, as syndication agent. The Amended and Restated Credit Agreement is currently unsecured; however, should any Springing Lien Trigger Event (as defined in the Amended and Restated Credit Agreement) occur, we and certain of our subsidiaries would be required to execute certain documents in favor of TD Bank, N.A., as administrative agent, and the lenders party to such documents would have a legal, valid, and enforceable first‎ priority lien on the collateral described therein.</w:t>
      </w:r>
    </w:p>
    <w:p>
      <w:pPr>
        <w:spacing w:after="0" w:line="1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Amended and Restated Credit Agreement provides for a revolving line of credit of $100.0 million at any one time, or the Revolving Line. The Revolving Line bears interest at either the Base Rate (as defined in the Amended and Restated Credit Agreement) or the SOFR rate, plus an applicable margin based on our consolidated leverage ratio. The Amended and Restated Credit Agreement also provides a swingline facility in the maximum amount of $5.0 million at any one time (subject to availability under the Revolving Line). Each Swingline Loan (as defined in the Amended and Restated Credit Agreement) bears interest at the Base Rate, plus an applicable margin based on our Adjusted Consolidated Leverage Ratio (as defined in the Amended and Restated Credit Agreement). Subject to the satisfaction of certain terms and conditions described in the Amended and Restated Credit Agreement, we have an option to increase the Revolving Line by an aggregate amount not exceeding $50.0 million. The Revolving Line matures on the earlier of</w:t>
      </w:r>
    </w:p>
    <w:p>
      <w:pPr>
        <w:sectPr>
          <w:pgSz w:w="11900" w:h="16838" w:orient="portrait"/>
          <w:cols w:equalWidth="0" w:num="1">
            <w:col w:w="11240"/>
          </w:cols>
          <w:pgMar w:left="320" w:top="765"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 w:name="page12"/>
    <w:bookmarkEnd w:id="11"/>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2024 and 2023</w:t>
      </w: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August 24, 2025 or the date that is six months in advance of the earliest maturity of any Permitted Notes (as defined in the Amended and Restated Credit Agreement) under the Amended and Restated Credit Agreement. On April 28, 2023, we entered into an amendment to our existing credit agreement to, among other things, replace LIBOR with SOFR as the interest rate benchmark and amend the definition of “Consolidated Fixed Charge Coverage Ratio” to exclude unfinanced capital expenditures in connection with the Relocation.</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As of July 31, 2024, we had $70.0 million of borrowings outstanding on the Revolving Line, bearing interest at an average rate of </w:t>
      </w:r>
      <w:r>
        <w:rPr>
          <w:rFonts w:ascii="Times New Roman" w:cs="Times New Roman" w:eastAsia="Times New Roman" w:hAnsi="Times New Roman"/>
          <w:sz w:val="18"/>
          <w:szCs w:val="18"/>
          <w:color w:val="161616"/>
        </w:rPr>
        <w:t>7.19</w:t>
      </w:r>
      <w:r>
        <w:rPr>
          <w:rFonts w:ascii="Times New Roman" w:cs="Times New Roman" w:eastAsia="Times New Roman" w:hAnsi="Times New Roman"/>
          <w:sz w:val="18"/>
          <w:szCs w:val="18"/>
          <w:color w:val="auto"/>
        </w:rPr>
        <w:t>%, which is equal to the SOFR rate plus an applicable margin.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 As of July 31, 2024, we were compliant with all required financial covenants.</w:t>
      </w:r>
    </w:p>
    <w:p>
      <w:pPr>
        <w:spacing w:after="0" w:line="181"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 At July 31, 2024, we had outstanding letters of credit aggregating $2.7 million, which included a $</w:t>
      </w:r>
      <w:r>
        <w:rPr>
          <w:rFonts w:ascii="Times New Roman" w:cs="Times New Roman" w:eastAsia="Times New Roman" w:hAnsi="Times New Roman"/>
          <w:sz w:val="18"/>
          <w:szCs w:val="18"/>
          <w:color w:val="161616"/>
        </w:rPr>
        <w:t>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letter of credit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collateralize our captive insurance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follow the provisions of Accounting Standards Codification, or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condensed consolidated balance sheets are categorized based on the inputs to the valuation techniques as follows: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the ability to access at the measurement date (e.g., active exchange-traded equity securities, listed derivatives, and most U.S. Government and agency securities).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cash and cash equivalents, which are measured at fair value on a recurring basis, totaled $35.5 million and $60.8 million as of July 31, 2024 and April 30, 2024, respectively. The carrying value of our revolving line of credit approximated the fair value as of July 31, 2024. We utilized Level 1 of the value hierarchy to determine the fair values of these assets.</w:t>
      </w:r>
    </w:p>
    <w:p>
      <w:pPr>
        <w:spacing w:after="0" w:line="174"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quoted prices of instruments with similar attributes in active markets. Level 2 inputs include the following:</w:t>
      </w:r>
    </w:p>
    <w:p>
      <w:pPr>
        <w:spacing w:after="0" w:line="52" w:lineRule="exact"/>
        <w:rPr>
          <w:sz w:val="20"/>
          <w:szCs w:val="20"/>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which trade infrequently);</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reflect our judgments about the assumptions a market participant would use in pricing the asset or liability.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Level 2 or Level 3 financial assets or liabilities as of July 31, 2024.</w:t>
      </w:r>
    </w:p>
    <w:p>
      <w:pPr>
        <w:sectPr>
          <w:pgSz w:w="11900" w:h="16838" w:orient="portrait"/>
          <w:cols w:equalWidth="0" w:num="1">
            <w:col w:w="11240"/>
          </w:cols>
          <w:pgMar w:left="320" w:top="76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 w:name="page13"/>
    <w:bookmarkEnd w:id="12"/>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2024 and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inventories, net of reserves, stated at lower of cost or net realizable value, as of July 31, 2024 and April 30, 2024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118,971</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83,337</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parts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100" w:type="dxa"/>
            <w:vAlign w:val="bottom"/>
          </w:tcPr>
          <w:p>
            <w:pPr>
              <w:spacing w:after="0"/>
              <w:rPr>
                <w:sz w:val="20"/>
                <w:szCs w:val="20"/>
                <w:color w:val="auto"/>
              </w:rPr>
            </w:pPr>
          </w:p>
        </w:tc>
      </w:tr>
      <w:tr>
        <w:trPr>
          <w:trHeight w:val="28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189,814</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Deferred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other accrued expenses as of July 31, 2024 and April 30,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00" w:type="dxa"/>
            <w:vAlign w:val="bottom"/>
          </w:tcPr>
          <w:p>
            <w:pPr>
              <w:spacing w:after="0"/>
              <w:rPr>
                <w:sz w:val="16"/>
                <w:szCs w:val="16"/>
                <w:color w:val="auto"/>
              </w:rPr>
            </w:pPr>
          </w:p>
        </w:tc>
      </w:tr>
      <w:tr>
        <w:trPr>
          <w:trHeight w:val="23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taxes other than income</w:t>
            </w:r>
          </w:p>
        </w:tc>
        <w:tc>
          <w:tcPr>
            <w:tcW w:w="4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4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settlement</w:t>
            </w:r>
          </w:p>
        </w:tc>
        <w:tc>
          <w:tcPr>
            <w:tcW w:w="4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distributor incentives</w:t>
            </w:r>
          </w:p>
        </w:tc>
        <w:tc>
          <w:tcPr>
            <w:tcW w:w="4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4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rebates and promotions</w:t>
            </w:r>
          </w:p>
        </w:tc>
        <w:tc>
          <w:tcPr>
            <w:tcW w:w="4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w:t>
            </w:r>
          </w:p>
        </w:tc>
        <w:tc>
          <w:tcPr>
            <w:tcW w:w="4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FF0FC"/>
          </w:tcPr>
          <w:p>
            <w:pPr>
              <w:spacing w:after="0"/>
              <w:rPr>
                <w:sz w:val="21"/>
                <w:szCs w:val="21"/>
                <w:color w:val="auto"/>
              </w:rPr>
            </w:pPr>
          </w:p>
        </w:tc>
      </w:tr>
      <w:tr>
        <w:trPr>
          <w:trHeight w:val="23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deferred revenue</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26,811</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September 19, 2023, our Board of Directors authorized the repurchase of up to $50.0 million of our common stock, subject to certain conditions, in the open market or in privately negotiated transactions through September 19, 2024. During fiscal 2024, we purchased 793,551 shares of our common stock for $10.2 million under this authorization. Through the three months ended July 31, 2024, we repurchased 870,669 shares of our common stock for </w:t>
      </w:r>
      <w:r>
        <w:rPr>
          <w:rFonts w:ascii="Times New Roman" w:cs="Times New Roman" w:eastAsia="Times New Roman" w:hAnsi="Times New Roman"/>
          <w:sz w:val="18"/>
          <w:szCs w:val="18"/>
          <w:color w:val="161616"/>
        </w:rPr>
        <w:t xml:space="preserve">$12.9 </w:t>
      </w:r>
      <w:r>
        <w:rPr>
          <w:rFonts w:ascii="Times New Roman" w:cs="Times New Roman" w:eastAsia="Times New Roman" w:hAnsi="Times New Roman"/>
          <w:sz w:val="18"/>
          <w:szCs w:val="18"/>
          <w:color w:val="000000"/>
        </w:rPr>
        <w:t>million under this authorization. There were no common stock purchases through the three months ended July 31, 2023, nor were there any</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unfulfilled authorizations. On September 5, 2024, our Board of Directors authorized the repurchase of up to $50.0 million of our common stock, subject to certain conditions, in the open market or in privately negotiated transactions from September 20, 2024 through September 20,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share for the three months ended July 31, 2024 and 2023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559"/>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03"/>
              <w:spacing w:after="0" w:line="158"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43"/>
              <w:spacing w:after="0" w:line="158"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3"/>
                <w:szCs w:val="13"/>
                <w:color w:val="auto"/>
              </w:rPr>
            </w:pPr>
          </w:p>
        </w:tc>
      </w:tr>
      <w:tr>
        <w:trPr>
          <w:trHeight w:val="187"/>
        </w:trPr>
        <w:tc>
          <w:tcPr>
            <w:tcW w:w="4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2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(2,106 )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45,321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(0.05 )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46,103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FF0FC"/>
          </w:tcPr>
          <w:p>
            <w:pPr>
              <w:spacing w:after="0"/>
              <w:rPr>
                <w:sz w:val="19"/>
                <w:szCs w:val="19"/>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220" w:type="dxa"/>
            <w:vAlign w:val="bottom"/>
          </w:tcPr>
          <w:p>
            <w:pPr>
              <w:spacing w:after="0"/>
              <w:rPr>
                <w:sz w:val="19"/>
                <w:szCs w:val="19"/>
                <w:color w:val="auto"/>
              </w:rPr>
            </w:pPr>
          </w:p>
        </w:tc>
        <w:tc>
          <w:tcPr>
            <w:tcW w:w="10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43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earnings</w:t>
            </w: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24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45,321</w:t>
            </w:r>
          </w:p>
        </w:tc>
        <w:tc>
          <w:tcPr>
            <w:tcW w:w="240" w:type="dxa"/>
            <w:vAlign w:val="bottom"/>
            <w:tcBorders>
              <w:top w:val="single" w:sz="8" w:color="CFF0FC"/>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220" w:type="dxa"/>
            <w:vAlign w:val="bottom"/>
            <w:tcBorders>
              <w:top w:val="single" w:sz="8" w:color="CFF0FC"/>
              <w:bottom w:val="single" w:sz="8" w:color="CFF0FC"/>
            </w:tcBorders>
            <w:shd w:val="clear" w:color="auto" w:fill="CFF0FC"/>
          </w:tcPr>
          <w:p>
            <w:pPr>
              <w:spacing w:after="0"/>
              <w:rPr>
                <w:sz w:val="23"/>
                <w:szCs w:val="23"/>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46,551</w:t>
            </w:r>
          </w:p>
        </w:tc>
        <w:tc>
          <w:tcPr>
            <w:tcW w:w="220" w:type="dxa"/>
            <w:vAlign w:val="bottom"/>
            <w:tcBorders>
              <w:top w:val="single" w:sz="8" w:color="CFF0FC"/>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-179070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-8255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-179070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-179070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-179070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-179070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2024 and 2023</w:t>
      </w:r>
    </w:p>
    <w:p>
      <w:pPr>
        <w:spacing w:after="0" w:line="2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2024, there were no shares excluded from the computation of diluted earnings per share as a result of the net loss for the period. For the three months ended July 31, 2023, there were 12,167 shares excluded from the computation of diluted earnings because the effect would be antidilutive.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and Employee Stock Purchase Plans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two stock incentive plans: the 2013 Incentive Stock Plan and the 2022 Incentive Stock Plan, or the Incentive Stock Plans, under which employees and non-employees may be granted stock options, restricted stock awards, restricted stock units, stock appreciation rights, bonus stock and awards in lieu of obligations, performance awards, and dividend equivalents. No grants have been made under the 2013 Incentive Stock Plan since our stockholders approved the 2022 Incentive Stock Plan at our annual meeting of stockholders held in September 2022. All new grants are issued under the 2022 Incentive Stock Plan.</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an Employee Stock Purchase Plan, or the ESPP, under which each participant is granted an option to purchase our common stock at a discount on each subsequent exercise date during the offering period (as such terms are defined in the ESPP) in accordance with the terms of the ESPP.</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total stock-based compensation expense, including purchases under our ESPP and grants of RSUs and performance-based RSUs, or PSUs, under the Incentive Stock Plans, was </w:t>
      </w:r>
      <w:r>
        <w:rPr>
          <w:rFonts w:ascii="Times New Roman" w:cs="Times New Roman" w:eastAsia="Times New Roman" w:hAnsi="Times New Roman"/>
          <w:sz w:val="18"/>
          <w:szCs w:val="18"/>
          <w:color w:val="161616"/>
        </w:rPr>
        <w:t>$1.9</w:t>
      </w:r>
      <w:r>
        <w:rPr>
          <w:rFonts w:ascii="Times New Roman" w:cs="Times New Roman" w:eastAsia="Times New Roman" w:hAnsi="Times New Roman"/>
          <w:sz w:val="18"/>
          <w:szCs w:val="18"/>
          <w:color w:val="auto"/>
        </w:rPr>
        <w:t xml:space="preserve"> million and $1.3 million for the three months ended July 31, 2024 and 2023, respectively. We include stock-based compensation expense in cost of sales, sales, marketing, and distribution, research and development, and general and administrative expenses.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grant RSUs to employees and non-employee members of our Board of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We amortize the aggregate fair value of our RSU grants to compensation expense over the vesting period.</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grant PSUs to our executive officers and, from time to time, certain management employees who are not executive officers. The PSUs vest, and the fair value of such PSUs will be recognized, over the corresponding three-year performance period.</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July 31, 2024, we granted an aggregate of 400,819 RSUs, including 257,937 RSUs to non-executive officer employees and 142,882 RSUs to our executive officers. During the three months ended July 31, 2024, we granted 142,878 PSUs to certain of our executive officers. During the three months ended July 31, 2024, we cancelled 63,469 PSUs as a result of the failure to satisfy the performance metrics and 10,575 RSUs as a result of the service conditions not being met. In connection with the vesting of RSUs, during the three months ended July 31, 2024, we delivered common stock to our employees (including our executive officers), former employees, and directors, with a total market value of $3.6 million.</w:t>
      </w:r>
    </w:p>
    <w:p>
      <w:pPr>
        <w:spacing w:after="0" w:line="22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July 31, 2023, we granted an aggregate of 301,483 RSUs, including 175,916 RSUs to non-executive officer employees, 117,724 RSUs to our executive officers, and 7,843 RSUs to a new director. During the three months ended July 31, 2023, we granted 176,583 PSUs to certain of our executive officers. During the three months ended July 31, 2023, we cancelled 158,100 PSUs as a result of the failure to satisfy the performance metric and 5,420 RSUs as a result of the service conditions not being met. In connection with the vesting of RSUs, during the three months ended July 31, 2023, we delivered common stock to our employees (including our executive officers), former employees, and directors, with a total market value of $2.0 million. In connection with a 2019 grant, which vested in fiscal 2023, we delivered market-condition PSUs to certain of our executive officers and a former executive officer with a total market value of $664,000.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2024 and 2023</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unvested RSUs and PSUs for the three months ended July 31, 2024 and 2023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09"/>
        </w:trPr>
        <w:tc>
          <w:tcPr>
            <w:tcW w:w="57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58"/>
        </w:trPr>
        <w:tc>
          <w:tcPr>
            <w:tcW w:w="57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8"/>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78"/>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r>
      <w:tr>
        <w:trPr>
          <w:trHeight w:val="176"/>
        </w:trPr>
        <w:tc>
          <w:tcPr>
            <w:tcW w:w="570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60" w:type="dxa"/>
            <w:vAlign w:val="bottom"/>
          </w:tcPr>
          <w:p>
            <w:pPr>
              <w:spacing w:after="0"/>
              <w:rPr>
                <w:sz w:val="15"/>
                <w:szCs w:val="15"/>
                <w:color w:val="auto"/>
              </w:rPr>
            </w:pPr>
          </w:p>
        </w:tc>
        <w:tc>
          <w:tcPr>
            <w:tcW w:w="9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4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570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5"/>
                <w:szCs w:val="15"/>
                <w:color w:val="auto"/>
              </w:rPr>
            </w:pPr>
          </w:p>
        </w:tc>
        <w:tc>
          <w:tcPr>
            <w:tcW w:w="9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5"/>
                <w:szCs w:val="15"/>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7"/>
        </w:trPr>
        <w:tc>
          <w:tcPr>
            <w:tcW w:w="570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6"/>
                <w:szCs w:val="16"/>
                <w:color w:val="auto"/>
              </w:rPr>
            </w:pPr>
          </w:p>
        </w:tc>
        <w:tc>
          <w:tcPr>
            <w:tcW w:w="9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4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and PSUs outstanding, beginning of period</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1,000,347</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932,705</w:t>
            </w: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20" w:type="dxa"/>
            <w:vAlign w:val="bottom"/>
          </w:tcPr>
          <w:p>
            <w:pPr>
              <w:spacing w:after="0"/>
              <w:rPr>
                <w:sz w:val="20"/>
                <w:szCs w:val="20"/>
                <w:color w:val="auto"/>
              </w:rPr>
            </w:pPr>
          </w:p>
        </w:tc>
      </w:tr>
      <w:tr>
        <w:trPr>
          <w:trHeight w:val="247"/>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543,697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478,066</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20" w:type="dxa"/>
            <w:vAlign w:val="bottom"/>
            <w:shd w:val="clear" w:color="auto" w:fill="CFF0FC"/>
          </w:tcPr>
          <w:p>
            <w:pPr>
              <w:spacing w:after="0"/>
              <w:rPr>
                <w:sz w:val="21"/>
                <w:szCs w:val="21"/>
                <w:color w:val="auto"/>
              </w:rPr>
            </w:pPr>
          </w:p>
        </w:tc>
      </w:tr>
      <w:tr>
        <w:trPr>
          <w:trHeight w:val="23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(220,525 )</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(217,975 )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Pr>
          <w:p>
            <w:pPr>
              <w:spacing w:after="0"/>
              <w:rPr>
                <w:sz w:val="20"/>
                <w:szCs w:val="20"/>
                <w:color w:val="auto"/>
              </w:rPr>
            </w:pPr>
          </w:p>
        </w:tc>
      </w:tr>
      <w:tr>
        <w:trPr>
          <w:trHeight w:val="247"/>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(74,044 )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6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(163,520 )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20" w:type="dxa"/>
            <w:vAlign w:val="bottom"/>
            <w:shd w:val="clear" w:color="auto" w:fill="CFF0FC"/>
          </w:tcPr>
          <w:p>
            <w:pPr>
              <w:spacing w:after="0"/>
              <w:rPr>
                <w:sz w:val="21"/>
                <w:szCs w:val="21"/>
                <w:color w:val="auto"/>
              </w:rPr>
            </w:pPr>
          </w:p>
        </w:tc>
      </w:tr>
      <w:tr>
        <w:trPr>
          <w:trHeight w:val="237"/>
        </w:trPr>
        <w:tc>
          <w:tcPr>
            <w:tcW w:w="5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RSUs and PSUs outstanding, end of period</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1,249,475</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20" w:type="dxa"/>
            <w:vAlign w:val="bottom"/>
            <w:tcBorders>
              <w:top w:val="single" w:sz="8" w:color="CFF0FC"/>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1,029,276</w:t>
            </w:r>
          </w:p>
        </w:tc>
        <w:tc>
          <w:tcPr>
            <w:tcW w:w="22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20" w:type="dxa"/>
            <w:vAlign w:val="bottom"/>
            <w:tcBorders>
              <w:top w:val="single" w:sz="8" w:color="CFF0FC"/>
            </w:tcBorders>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-187960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As of July 31, 2024, there was $8.9 million of unrecognized compensation expense related to unvested RSUs and PSUs. This expense is expected to be recognized over a weighted average remaining contractual term of </w:t>
      </w:r>
      <w:r>
        <w:rPr>
          <w:rFonts w:ascii="Times New Roman" w:cs="Times New Roman" w:eastAsia="Times New Roman" w:hAnsi="Times New Roman"/>
          <w:sz w:val="18"/>
          <w:szCs w:val="18"/>
          <w:color w:val="161616"/>
        </w:rPr>
        <w:t>1.9</w:t>
      </w:r>
      <w:r>
        <w:rPr>
          <w:rFonts w:ascii="Times New Roman" w:cs="Times New Roman" w:eastAsia="Times New Roman" w:hAnsi="Times New Roman"/>
          <w:sz w:val="18"/>
          <w:szCs w:val="18"/>
          <w:color w:val="auto"/>
        </w:rPr>
        <w:t xml:space="preserve">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2018, Gemini Technologies, Incorporated, or Gemini, commenced an action against us in the U.S. District Court for the District of Idaho, or the District Court.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November 2019, we filed an answer to Gemini’s complaint and a counterclaim against Gemini and its stockholders at the time of the signing of the asset purchase agreement. Plaintiffs amended their complaint to add a claim of fraud in the inducement. In September 2021, Gemini filed a motion for summary judgment seeking to dismiss our counterclaim. In June 2022, the District Court denied Gemini's motion for summary judgment. Gemini filed a second motion for summary judgment, and in August 2023, the District Court again denied Gemini’s motion. In November 2023, we entered into a settlement agreement with plaintiffs on the indemnity and counterclaims. On the same day, plaintiffs filed a motion for leave, seeking to file a second amended complaint. On January 31, 2024, the District Court allowed plaintiffs’ amended allegations of fraud, and denied without prejudice their motion to add punitive damages. On February 9, 2024, the District Court set a trial date for January 6, 2025. On August 7, 2024, the District Court issued a 45-day stay of the case and vacated the January 6, 2025 trial date. We believe the claims asserted in the complaint have no merit, and we intend to aggressively defend this action.</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defendant in three product liability cases and are aware of eight other product liability claims, primarily alleging defective product design, defective manufacturing, or failure to provide adequate warnings. In addition, we are a co-defendant in a case filed in August 1999 by the city of Gary, Indiana, or the City, against numerous firearm manufacturers, distributors, and dealers seeking to recover monetary damages, as well as injunctive relief, allegedly arising out of the misuse of firearms by third parties. In January 2018, the Lake Superior Court, County of Lake, Indiana granted defendants’ Motion for Judgment on the Pleadings, dismissing the case in its entirety. In February 2018, plaintiffs appealed the dismissal to the Indiana Court of Appeals. In May 2019, the Indiana Court of Appeals issued a decision, which affirmed in part and reversed in part, and remanded for further proceedings, the trial court’s dismissal of the City’s complaint. In July 2019, defendants filed a Petition to Transfer jurisdiction to the Indiana Supreme Court. In November 2019, the Indiana Supreme Court denied defendants' petition to transfer, and the case was returned to the trial court. Discovery is ongoing. On March 15, 2024, IC 34-12-3.5 was signed into law. This law purported to prohibit political subdivisions in Indiana from bringing certain legal actions against certain firearm industry members and to apply to actions or suits filed before, after, or on August 27, 1999. On March 18, 2024, defendants filed a joint motion for judgment on the pleadings based on the new law. On May 17, 2024, plaintiffs filed an opposition to defendants' motion for judgment on the pleadings. On August 12, 2024, the trial court denied defendants’ joint motion for judgment on the pleadings. We believe the claims asserted in the complaint are without merit and intend to aggressively defend this action.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2024 and 2023</w:t>
      </w:r>
    </w:p>
    <w:p>
      <w:pPr>
        <w:spacing w:after="0" w:line="39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 defendant in a putative class proceeding before the Ontario Superior Court of Justice in Toronto, Canada that was filed in December 2019. The action claims CAD$50 million in aggregate general damages, CAD$100 million in aggregate punitive damages, special damages in an unspecified amount, together with interest and legal costs. The named plaintiffs are two victims of a shooting that took place in Toronto in July 2018 and their family members. One victim was shot and injured during the shooting. The other victim suffered unspecified injuries while fleeing the shooting. The plaintiffs sought to certify a claim on behalf of classes that include all persons who were killed or injured in the shooting and their immediate family members. The plaintiffs allege negligent design and public nuisance. The case has not been certified as a class action. In July 2020, we filed a Notice of Motion for an order striking the claim and dismissing the action in its entirety. In February 2021, the court granted our motion in part, and dismissed the plaintiffs’ claims in public nuisance and strict liability. The court declined to strike the negligent design claim and ordered that the claim proceed to a certification motion. In March 2021, we filed a motion for leave to appeal the court’s refusal to strike the negligent design claim with the Divisional Court, Ontario Superior Court of Justice. In July 2021, plaintiffs filed a motion to stay our motion for leave to appeal with the Divisional Court, on grounds that appeal is premature. In November 2021, the Divisional Court granted plaintiffs' motion, staying our motion for leave to appeal until 30 days after the decision on the balance of plaintiffs' certification motion. A hearing on plaintiffs’ certification motion was held in January 2024. On March 5, 2024, the court denied the plaintiffs' motion for class certification. Three appeals have been filed, all of which will be heard together in the Court of Appeal for Ontario: (1) our appeal from the dismissal of our motion to strike the negligent design claim; (2) the plaintiffs’ appeal from the order striking out their public nuisance and strict liability claims; and, (3) the plaintiffs’ appeal from the order dismissing their certification motion. On August 6, 2024, we filed our motion regarding our appeal from the dismissal of our motion to strike the negligent design claim and plaintiffs filed their motion regarding their appeal from the order striking out their public nuisance and strict liability claims and their appeal from the order dismissing their certification motion.</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May 2020, we were named in an action related to the Chabad of Poway synagogue shooting that took place in April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In September 2020, we filed a demurrer and motion to strike, seeking to dismiss plaintiffs’ complaint. In July 2021, the court granted our motion in part, and reversed it in part, ruling that</w:t>
      </w:r>
    </w:p>
    <w:p>
      <w:pPr>
        <w:spacing w:after="0" w:line="3" w:lineRule="exact"/>
        <w:rPr>
          <w:sz w:val="20"/>
          <w:szCs w:val="20"/>
          <w:color w:val="auto"/>
        </w:rPr>
      </w:pPr>
    </w:p>
    <w:p>
      <w:pPr>
        <w:jc w:val="both"/>
        <w:ind w:firstLine="8"/>
        <w:spacing w:after="0" w:line="268" w:lineRule="auto"/>
        <w:tabs>
          <w:tab w:leader="none" w:pos="27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Protection of Lawful Commerce in Arms Act barred plaintiffs’ product liability action; (2) plaintiffs did not have standing to maintain an action under the Unfair Competition Law for personal injury related damages, but gave plaintiffs leave to amend to plead an economic injury; and (3) the Protection of Lawful Commerce in Arms Act did not bar plaintiffs’ ordinary negligence and public nuisance actions because plaintiffs had alleged that we violated 18 U.S.C. Section 922(b)(4), which generally prohibits the sale of fully automatic “machineguns.” In August 2021, we filed a Petition for Writ of Mandate in the Court of Appeal of the State of California, Fourth Appellate District, Division One. In September 2021, the Court of Appeal denied our appeal. In February 2022, the court consolidated the case with three related cases, in which we are not a party. In March 2022, the court granted our motion, dismissing plaintiffs’ Unfair Competition Law claim, without further leave to amend. Discovery is ongoing. On February 28, 2023, we filed a motion for summary judgment. On May 19, 2023, the court denied our motion for summary judgment without prejudice and allowed plaintiffs time for additional, limited discovery. A hearing on our renewed motion for summary judgment was held on August 16, 2024. Trial is scheduled for January 24, 2025.</w:t>
      </w:r>
    </w:p>
    <w:p>
      <w:pPr>
        <w:spacing w:after="0" w:line="17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defendant in an action filed in the U.S. District Court for the District of Massachusetts. In August 2021, the Mexican Government filed an action against several U.S.-based firearms manufacturers and a firearms distributor, claiming defendants design, market, distribute, and sell firearms in ways they know routinely arm the drug cartels in Mexico. Plaintiff alleges, among other claims, negligence, public nuisance, design defect, unjust enrichment and restitution against all defendants and violation of the Massachusetts Consumer Protection Act against us alone, and is seeking monetary damages and injunctive relief. In November 2021, defendants filed motions to dismiss plaintiff's complaint. In September 2022, the district court granted defendants’ motions to dismiss. In October 2022, plaintiff filed a notice of appeal with the U.S. Court of Appeals for the First Circuit. On January 22, 2024, the First Circuit reversed the trial court’s dismissal of the case. On April 18, 2024, defendants filed a Petition for a Writ of Certiorari with the Supreme Court of the United States. A conference is scheduled before the U.S. Supreme Court on September 30, 2024. On August 7, 2024, the district court dismissed the case against six of the eight defendants in the suit excluding us based on personal jurisdiction grounds. The district court has scheduled a status conference for October 2, 2024.</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September 2022, we were named as defendants in 12 nearly identical, separate actions related to a shooting in Highland Park, Illinois on July 4, 2022. The complaints were filed in the Circuit Court of the Nineteenth Judicial Circuit in Lake County, Illinois and assert claims against us for negligence and deceptive and unfair practices under the Illinois Consumer Fraud and Deceptive Business Practices Act. The plaintiffs allege they were present at a parade at the time of the incident and suffered physical and/or emotional injury. The plaintiffs seek compensatory damages, attorneys’ fees, and injunctive relief. We filed motions for removal of each case to the U.S. District Court for the Northern District of Illinois. In November 2022, we filed a motion to consolidate the cases for preliminary motion purposes. In December 2022, plaintiffs filed motions to remand the cases back to the state court. In September 2023, the court granted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2024 and 2023</w:t>
      </w:r>
    </w:p>
    <w:p>
      <w:pPr>
        <w:spacing w:after="0" w:line="3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plaintiffs’ motion to remand. In October 2023, we filed a notice of appeal to the U.S. Court of Appeals for the Seventh Circuit. In March 2024, three new suits were filed in the Circuit Court of Lake County, Illinois. On April 8, 2024, the Seventh Circuit affirmed the remand decision. On May 10, 2024, plaintiffs filed a motion for attorneys’ fees incurred as a result of removal. On May 17, 2024, we filed an opposition to plaintiffs’ motion. No decision has been issued to date. In June and July 2024, the district court remanded the 12 separate actions to state court, with some plaintiffs amending their complaints to remove references to violations of federal law and asserting an additional claim against us for deceptive and unfair practices under the Illinois Consumer Fraud and Deceptive Business Practices Act. We were also named in 13 additional separate cases against us in the same state court during the same time period, largely raising similar allegations against us as in the initial and amended complaints.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2022, the City of Buffalo, New York filed a complaint in the Supreme Court of the State of New York, County of Erie, against numerous manufacturers, distributors, and retailers of firearms. Later in December 2022, the City of Rochester, New York filed an almost identical complaint in the Supreme Court of the State of New York, County of Monroe, against the same defendants. The complaints allege violation of New York General Business Law, public nuisance, and deceptive business practices in violation of NY General Business Laws. In January 2023, we filed notices of removal of the cases to the U.S. District Court for the Western District of New York. On March 24, 2023, defendants filed a motion to stay both cases pending a ruling by the U.S. Court of Appeals for the Second Circuit in the NSSF v. James case. On June 8, 2023, the court granted defendants’ motions to consolidate and to stay pending resolution of the NSSF v. James appeal.</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March 2022, two plaintiffs, on behalf of a proposed class of current and former employees and temporary workers who worked at our Springfield facility from November 2018 to the present, filed a claim alleging non-payment of wages and overtime in violation of the Massachusetts Wage Act and Massachusetts Fair Wage Act. The parties have reached a settlement agreement, which was preliminarily approved by the court on March 15, 2024. A hearing seeking final approval of the settlement is scheduled for September 17, 2024.</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are involved in lawsuits, claims, investigations, and proceedings, including commercial, environmental, premises and employment matters, which arise in the ordinary course of business.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were also involved in a putative stockholder derivative lawsuit filed on December 5, 2023 in the Eighth Judicial District Court, Clark County, Nevada. The action was brought by plaintiffs seeking to act on our behalf against our directors and certain of our executive officers. The complaint alleged breach of fiduciary duties by knowingly allowing us to become exposed to significant liability for intentionally violating federal, state, and local laws through our manufacturing, marketing, and sale of “AR-15 style rifles." The derivative plaintiffs sought damages on our behalf from the individual defendants, as well as reforms and improvements to our compliance procedures and governance policies. On March 19, 2024, the court granted our motion to require security pursuant to Nevada law. On May 6, 2024, the court dismissed plaintiffs’ action without prejudice for failing to post a bond pursuant to the court’s order. On June 28, 2024, plaintiffs filed a motion to retax costs, arguing that we are not entitled to costs based on the court’s order of dismissal. On July 9, 2024, we filed a motion for attorneys’ fees and costs. On July 10 and 11, 2024, plaintiffs filed a notice of appeal of the order of dismissal without prejudice and case appeal statement, respectively. On July 25, 2024, plaintiffs filed a notice of posting of bond on appeal. On August 9, 2024, we filed an opposition to plaintiffs’ motion to retax costs.</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2024 and 2023</w:t>
      </w:r>
    </w:p>
    <w:p>
      <w:pPr>
        <w:spacing w:after="0" w:line="3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possible loss or range of loss, if such estimate could be made, or disclose that an estimate could not be made. We believe that we have provided adequate accruals for defense costs.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this time, an estimated range of reasonably possible additional losses relating to unfavorable outcomes cannot be made.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September 30, 2021, we announced our plan to move our headquarters and significant elements of our operations to Maryville, Tennessee in 2023, or the Relocation. In connection with the Relocation, we entered into a project agreement, or the Project Agreement, with The Industrial Development Board of Blount County and the cities of Alcoa and Maryville, Tennessee, a public, nonprofit corporation organized and existing under the laws of the state of Tennessee, or the IDB. Pursuant to the Project Agreement, we represented to the IDB that we intend to incur, or cause to be incurred, no less than $120.0 million in aggregate capital expenditures on or before December 31, 2025, create no less than 620 new jobs, and sustain an average hourly wage of at least $25.97 at the facility. Further, pursuant to the Project Agreement, we are required to, among other things, (A) execute a facility lease and an equipment lease with the IDB; (B) cause the construction of the new facility at our sole cost and expense to commence on or before May 31, 2022; (C) incur, or cause to be incurred, aggregate capital expenditures in connection with the construction and equipping of the new facility in an aggregate amount of not less than $120.0 million on or before December 31, 2025; (D) cause the construction of the new facility to be substantially completed and for a certificate of occupancy to be issued therefore on or before December 31, 2023; (E) provide the IDB with a written report certified by one of our authorized officers, not later than January 31 of each year during the period between January 31, 2024 and January 31, 2031; and (F) make certain payments to IDB in the event that our actual capital expenditures, number of employees, or average hourly wage of such employees are less than our projections.</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2, 2023, we entered into a design-build agreement with The Christman Company, or Christman, related to the construction of our Maryville facility, or the Construction Contract. The Construction Contract has an effective date of September 13, 2021 and incorporates the arrangements under which we and Christman have been proceeding. Pursuant to the Construction Contract, Christman is obligated to deliver certain services, including, among others, design phase services and construction phase services, and we are obligated to pay Christman for services performed. The parties to the Construction Contract agreed that Christman will perform and complete the Work (as defined therein) on a cost-plus basis for a guaranteed maximum price of $114.5 million, including contingencies. When adding the cost of machinery and equipment, we expect to spend between $160.0 million and $170.0 million through the end of fiscal 2025. Through July 31, 2024, we had incurred $</w:t>
      </w:r>
      <w:r>
        <w:rPr>
          <w:rFonts w:ascii="Times New Roman" w:cs="Times New Roman" w:eastAsia="Times New Roman" w:hAnsi="Times New Roman"/>
          <w:sz w:val="18"/>
          <w:szCs w:val="18"/>
          <w:color w:val="161616"/>
        </w:rPr>
        <w:t>157.0</w:t>
      </w:r>
      <w:r>
        <w:rPr>
          <w:rFonts w:ascii="Times New Roman" w:cs="Times New Roman" w:eastAsia="Times New Roman" w:hAnsi="Times New Roman"/>
          <w:sz w:val="18"/>
          <w:szCs w:val="18"/>
          <w:color w:val="auto"/>
        </w:rPr>
        <w:t xml:space="preserve"> million of capital expenditures related to the Relocation. The Construction Contract includes terms that are customary for contracts of this type, including with respect to indemnification and insurance. The Construction Contract lists certain contract milestones and guaranteed completion dates, and we will be entitled to liquidated damages under certain circumstances. Each party to the Construction Contract is entitled to terminate the Construction Contract under certain circumstances.</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quarter ended July 31, 2023, we determined that we would have no use for certain distribution equipment in our Missouri Distribution Center and could not fully recover the net book value of such equipment. Therefore, we recorded an impairment of $2.0 million during that quarter. In connection with the Assignment and Assumption Agreement, we vacated the Missouri Distribution Center effective January 1, 2024 and sold assets we could no longer utilize to AOUT at their remaining net book value of $2.9 million, relocating all remaining assets to our Maryville facility.</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relocated a portion of our plastic injection molding operations to the Maryville facility. As of July 31, 2024, the plastic injection molding machinery and equipment was being utilized in our Deep River facility, had been relocated to the Maryville facility, or had been disposed. We do not believe there are any indications of impairment relating to assets being utilized at the Deep River facility.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Restructuring: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result of the Relocation, $1.3 million and $3.9 million of net restructuring charges were recorded in the three months ended July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2024 and 2023</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net restructuring charges by line item for the three months ended July 31, 2024 and 2023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40" w:type="dxa"/>
            <w:vAlign w:val="bottom"/>
          </w:tcPr>
          <w:p>
            <w:pPr>
              <w:spacing w:after="0"/>
              <w:rPr>
                <w:sz w:val="16"/>
                <w:szCs w:val="16"/>
                <w:color w:val="auto"/>
              </w:rPr>
            </w:pPr>
          </w:p>
        </w:tc>
        <w:tc>
          <w:tcPr>
            <w:tcW w:w="410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340" w:type="dxa"/>
            <w:vAlign w:val="bottom"/>
          </w:tcPr>
          <w:p>
            <w:pPr>
              <w:spacing w:after="0"/>
              <w:rPr>
                <w:sz w:val="19"/>
                <w:szCs w:val="19"/>
                <w:color w:val="auto"/>
              </w:rPr>
            </w:pPr>
          </w:p>
        </w:tc>
        <w:tc>
          <w:tcPr>
            <w:tcW w:w="15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shd w:val="clear" w:color="auto" w:fill="CFF0FC"/>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(1,659 )</w:t>
            </w:r>
          </w:p>
        </w:tc>
        <w:tc>
          <w:tcPr>
            <w:tcW w:w="1520" w:type="dxa"/>
            <w:vAlign w:val="bottom"/>
            <w:shd w:val="clear" w:color="auto" w:fill="CFF0FC"/>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5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5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FF0FC"/>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r>
      <w:tr>
        <w:trPr>
          <w:trHeight w:val="277"/>
        </w:trPr>
        <w:tc>
          <w:tcPr>
            <w:tcW w:w="6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restructuring charges, net</w:t>
            </w:r>
          </w:p>
        </w:tc>
        <w:tc>
          <w:tcPr>
            <w:tcW w:w="1520" w:type="dxa"/>
            <w:vAlign w:val="bottom"/>
            <w:tcBorders>
              <w:bottom w:val="single" w:sz="8" w:color="auto"/>
            </w:tcBorders>
            <w:shd w:val="clear" w:color="auto" w:fill="CFF0FC"/>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4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auto"/>
            </w:tcBorders>
            <w:shd w:val="clear" w:color="auto" w:fill="CFF0FC"/>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net restructuring charges recorded in our condensed consolidated statements of operations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40" w:type="dxa"/>
            <w:vAlign w:val="bottom"/>
          </w:tcPr>
          <w:p>
            <w:pPr>
              <w:spacing w:after="0"/>
              <w:rPr>
                <w:sz w:val="16"/>
                <w:szCs w:val="16"/>
                <w:color w:val="auto"/>
              </w:rPr>
            </w:pPr>
          </w:p>
        </w:tc>
        <w:tc>
          <w:tcPr>
            <w:tcW w:w="410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340" w:type="dxa"/>
            <w:vAlign w:val="bottom"/>
          </w:tcPr>
          <w:p>
            <w:pPr>
              <w:spacing w:after="0"/>
              <w:rPr>
                <w:sz w:val="19"/>
                <w:szCs w:val="19"/>
                <w:color w:val="auto"/>
              </w:rPr>
            </w:pPr>
          </w:p>
        </w:tc>
        <w:tc>
          <w:tcPr>
            <w:tcW w:w="1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Severance and employee-related benefits (a)</w:t>
            </w:r>
          </w:p>
        </w:tc>
        <w:tc>
          <w:tcPr>
            <w:tcW w:w="1540" w:type="dxa"/>
            <w:vAlign w:val="bottom"/>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(308 )</w:t>
            </w:r>
          </w:p>
        </w:tc>
        <w:tc>
          <w:tcPr>
            <w:tcW w:w="1520" w:type="dxa"/>
            <w:vAlign w:val="bottom"/>
            <w:shd w:val="clear" w:color="auto" w:fill="CFF0FC"/>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FF0FC"/>
          </w:tcPr>
          <w:p>
            <w:pPr>
              <w:spacing w:after="0"/>
              <w:rPr>
                <w:sz w:val="20"/>
                <w:szCs w:val="20"/>
                <w:color w:val="auto"/>
              </w:rPr>
            </w:pPr>
          </w:p>
        </w:tc>
      </w:tr>
      <w:tr>
        <w:trPr>
          <w:trHeight w:val="23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Relocation (a)</w:t>
            </w:r>
          </w:p>
        </w:tc>
        <w:tc>
          <w:tcPr>
            <w:tcW w:w="1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Consulting services</w:t>
            </w:r>
          </w:p>
        </w:tc>
        <w:tc>
          <w:tcPr>
            <w:tcW w:w="15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21"/>
                <w:szCs w:val="21"/>
                <w:color w:val="auto"/>
              </w:rPr>
            </w:pPr>
          </w:p>
        </w:tc>
      </w:tr>
      <w:tr>
        <w:trPr>
          <w:trHeight w:val="23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relations</w:t>
            </w:r>
          </w:p>
        </w:tc>
        <w:tc>
          <w:tcPr>
            <w:tcW w:w="1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rent and equipment</w:t>
            </w:r>
          </w:p>
        </w:tc>
        <w:tc>
          <w:tcPr>
            <w:tcW w:w="15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FF0FC"/>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Deep River facility (b)</w:t>
            </w:r>
          </w:p>
        </w:tc>
        <w:tc>
          <w:tcPr>
            <w:tcW w:w="15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6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restructuring charges, net</w:t>
            </w:r>
          </w:p>
        </w:tc>
        <w:tc>
          <w:tcPr>
            <w:tcW w:w="1540" w:type="dxa"/>
            <w:vAlign w:val="bottom"/>
            <w:tcBorders>
              <w:top w:val="single" w:sz="8" w:color="auto"/>
              <w:bottom w:val="single" w:sz="8" w:color="auto"/>
            </w:tcBorders>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4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shd w:val="clear" w:color="auto" w:fill="CFF0FC"/>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accrued payroll and incentives.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Relocation, we relocated a portion of our plastic injection molding operations from the Deep River facility to our Maryville facility. The amount presented for the three months ended July 31, 2024 represents net sales, cost of sales, and operating expenses for the Deep River operations, to the extent not already included in the other categories of restructuring charges within this schedule.</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the severance and employee-related benefits and relocation accruals for the three months ended July 31, 2024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Severance and employee-</w:t>
            </w:r>
          </w:p>
        </w:tc>
        <w:tc>
          <w:tcPr>
            <w:tcW w:w="320" w:type="dxa"/>
            <w:vAlign w:val="bottom"/>
          </w:tcPr>
          <w:p>
            <w:pPr>
              <w:spacing w:after="0"/>
              <w:rPr>
                <w:sz w:val="13"/>
                <w:szCs w:val="13"/>
                <w:color w:val="auto"/>
              </w:rPr>
            </w:pPr>
          </w:p>
        </w:tc>
        <w:tc>
          <w:tcPr>
            <w:tcW w:w="174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Relocation</w:t>
            </w:r>
          </w:p>
        </w:tc>
        <w:tc>
          <w:tcPr>
            <w:tcW w:w="380" w:type="dxa"/>
            <w:vAlign w:val="bottom"/>
          </w:tcPr>
          <w:p>
            <w:pPr>
              <w:spacing w:after="0"/>
              <w:rPr>
                <w:sz w:val="13"/>
                <w:szCs w:val="13"/>
                <w:color w:val="auto"/>
              </w:rPr>
            </w:pPr>
          </w:p>
        </w:tc>
        <w:tc>
          <w:tcPr>
            <w:tcW w:w="15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related benefits</w:t>
            </w:r>
          </w:p>
        </w:tc>
        <w:tc>
          <w:tcPr>
            <w:tcW w:w="32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Accrual at April 30, 2024</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3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20"/>
                <w:szCs w:val="20"/>
                <w:color w:val="auto"/>
              </w:rPr>
            </w:pP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(308 )</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payments and settlements</w:t>
            </w:r>
          </w:p>
        </w:tc>
        <w:tc>
          <w:tcPr>
            <w:tcW w:w="12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(898 )</w:t>
            </w:r>
          </w:p>
        </w:tc>
        <w:tc>
          <w:tcPr>
            <w:tcW w:w="3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(229 )</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(1,127 )</w:t>
            </w:r>
          </w:p>
        </w:tc>
        <w:tc>
          <w:tcPr>
            <w:tcW w:w="0" w:type="dxa"/>
            <w:vAlign w:val="bottom"/>
          </w:tcPr>
          <w:p>
            <w:pPr>
              <w:spacing w:after="0"/>
              <w:rPr>
                <w:sz w:val="1"/>
                <w:szCs w:val="1"/>
                <w:color w:val="auto"/>
              </w:rPr>
            </w:pPr>
          </w:p>
        </w:tc>
      </w:tr>
      <w:tr>
        <w:trPr>
          <w:trHeight w:val="24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at July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3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accrued payroll and incentives.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ind w:right="39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Please refer to the Management’s Discussion and Analysis of Financial Condition and Results of Operations in our Fiscal 2024 Annual Report and our unaudited condensed consolidated financial statements included in Item 1 of this Quarterly Report on Form 10-Q. This section sets forth key objectives and performance indicators used by us as well as key industry data tracked by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2025 Highlights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the three months ended July 31, 2024 included the following:</w:t>
      </w:r>
    </w:p>
    <w:p>
      <w:pPr>
        <w:spacing w:after="0" w:line="117"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$88.3 million, a decrease of $25.9 million, or 22.7%, from the comparable quarter last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27.4% compared with gross margin of 26.6% for the comparable quarter last year.</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$2.1 million, or $</w:t>
      </w:r>
      <w:r>
        <w:rPr>
          <w:rFonts w:ascii="Times New Roman" w:cs="Times New Roman" w:eastAsia="Times New Roman" w:hAnsi="Times New Roman"/>
          <w:sz w:val="18"/>
          <w:szCs w:val="18"/>
          <w:color w:val="161616"/>
        </w:rPr>
        <w:t>0.05</w:t>
      </w:r>
      <w:r>
        <w:rPr>
          <w:rFonts w:ascii="Times New Roman" w:cs="Times New Roman" w:eastAsia="Times New Roman" w:hAnsi="Times New Roman"/>
          <w:sz w:val="18"/>
          <w:szCs w:val="18"/>
          <w:color w:val="auto"/>
        </w:rPr>
        <w:t xml:space="preserve"> per share, compared with net income of $3.1 million, or $0.07 per diluted share, for the comparable quarter last year.</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three months ended July 31, 2024, we purchased 870,669 shares of our common stock for $12.9 million.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 – For the Three Months Ended July 31, 2024</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three months ended July 31, 2024 and 2023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Handguns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53,277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86,106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(32,829 )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-38.1%</w:t>
            </w: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2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w:t>
            </w:r>
          </w:p>
        </w:tc>
      </w:tr>
      <w:tr>
        <w:trPr>
          <w:trHeight w:val="247"/>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r>
      <w:tr>
        <w:trPr>
          <w:trHeight w:val="232"/>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88,334</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114,243</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(25,909 )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w:t>
            </w: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64,142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83,842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(19,700 )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32"/>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24,192</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(6,209 )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-20.4%</w:t>
            </w: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27.4 %</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26.6 %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-633730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-633730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-633730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-316230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-316230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-316230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three months ended July 31, 2024 and 2023 (units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4520" w:type="dxa"/>
            <w:vAlign w:val="bottom"/>
            <w:gridSpan w:val="3"/>
          </w:tcPr>
          <w:p>
            <w:pPr>
              <w:spacing w:after="0"/>
              <w:rPr>
                <w:sz w:val="15"/>
                <w:szCs w:val="15"/>
                <w:color w:val="auto"/>
              </w:rPr>
            </w:pP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3"/>
        </w:trPr>
        <w:tc>
          <w:tcPr>
            <w:tcW w:w="57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-31.6%</w:t>
            </w:r>
          </w:p>
        </w:tc>
      </w:tr>
      <w:tr>
        <w:trPr>
          <w:trHeight w:val="234"/>
        </w:trPr>
        <w:tc>
          <w:tcPr>
            <w:tcW w:w="5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r>
      <w:tr>
        <w:trPr>
          <w:trHeight w:val="441"/>
        </w:trPr>
        <w:tc>
          <w:tcPr>
            <w:tcW w:w="2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7"/>
        </w:trPr>
        <w:tc>
          <w:tcPr>
            <w:tcW w:w="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2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3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-31.1%</w:t>
            </w:r>
          </w:p>
        </w:tc>
      </w:tr>
      <w:tr>
        <w:trPr>
          <w:trHeight w:val="234"/>
        </w:trPr>
        <w:tc>
          <w:tcPr>
            <w:tcW w:w="5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r>
      <w:tr>
        <w:trPr>
          <w:trHeight w:val="454"/>
        </w:trPr>
        <w:tc>
          <w:tcPr>
            <w:tcW w:w="2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7"/>
        </w:trPr>
        <w:tc>
          <w:tcPr>
            <w:tcW w:w="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3540" w:type="dxa"/>
            <w:vAlign w:val="bottom"/>
            <w:gridSpan w:val="2"/>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-38.5%</w:t>
            </w:r>
          </w:p>
        </w:tc>
      </w:tr>
      <w:tr>
        <w:trPr>
          <w:trHeight w:val="234"/>
        </w:trPr>
        <w:tc>
          <w:tcPr>
            <w:tcW w:w="5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16.7%</w:t>
            </w:r>
          </w:p>
        </w:tc>
      </w:tr>
    </w:tbl>
    <w:p>
      <w:pPr>
        <w:spacing w:after="0" w:line="24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our handguns decreased $32.8 million, or 38.1%, from the comparable quarter last year, primarily due to lower consumer demand within the industry, partially offset by increased shipments of newly introduced products (defined as any new SKU not shipped in the comparable quarter last year), which represented 36.1% of handgun sales in the period, and a 2%-5% price increase that became effective in the third quarter of fiscal 2024. Handgun unit shipments into the sporting goods channel decreased by 31.1% from the comparable quarter last year while overall consumer handgun demand decreased 5.0% (as indicated by adjusted background checks reported in the National Instant Criminal Background Check System, or NICS).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Sales of our long guns increased $5.9 million, or 31.6%, over the comparable quarter last year, primarily due to increased shipments of newly introduced products, which represented 70.0% of long gun sales in the period, as well as a 2%-5% price increase 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select products that became effective in the third quarter of fiscal 2024. Long gun unit shipments into our sporting goods channel decreased 3.0% from the comparable quarter last year while overall consumer demand for long guns decreased 0.5% (as indicated by NICS).</w:t>
      </w:r>
    </w:p>
    <w:p>
      <w:pPr>
        <w:spacing w:after="0" w:line="162"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increased $981,000, or 10.5%, from the comparable quarter last year, primarily because of increased suppressor and component parts sales, partially offset by lower business-to-business and handcuff sales.</w:t>
      </w:r>
    </w:p>
    <w:p>
      <w:pPr>
        <w:spacing w:after="0" w:line="162"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Newly introduced products represented 41.4% of net sales for the three months ended July 31, 2024 and included six new pistols, four new long guns, and many new product line extensions.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Gross margin for the three months ended July 31, 2024 was 27.4% compared with 26.6% for the comparable quarter last year, primarily because of favorable fixed-cost absorption from higher production volume, lower inventory reserve adjustments, a price increase that became effective in the third quarter of fiscal 2024, and lower Relocation costs, partially offset by higher promotional costs.</w:t>
      </w:r>
    </w:p>
    <w:p>
      <w:pPr>
        <w:spacing w:after="0" w:line="176" w:lineRule="exact"/>
        <w:rPr>
          <w:sz w:val="20"/>
          <w:szCs w:val="20"/>
          <w:color w:val="auto"/>
        </w:rPr>
      </w:pPr>
    </w:p>
    <w:p>
      <w:pPr>
        <w:jc w:val="both"/>
        <w:ind w:right="60" w:firstLine="509"/>
        <w:spacing w:after="0" w:line="256" w:lineRule="auto"/>
        <w:rPr>
          <w:sz w:val="20"/>
          <w:szCs w:val="20"/>
          <w:color w:val="auto"/>
        </w:rPr>
      </w:pPr>
      <w:r>
        <w:rPr>
          <w:rFonts w:ascii="Times New Roman" w:cs="Times New Roman" w:eastAsia="Times New Roman" w:hAnsi="Times New Roman"/>
          <w:sz w:val="18"/>
          <w:szCs w:val="18"/>
          <w:color w:val="auto"/>
        </w:rPr>
        <w:t>Inventory balances increased $29.3 million between April 30, 2024 and July 31, 2024 due to a combination of the seasonal slowdown in demand combined with level loading of our manufacturing facilities to ensure our ability to satisfy anticipated future demand. While inventory levels, both internally and in the distribution channel, in excess of demand may negatively impact future operating results, it is difficult to forecast the potential impact of distributor inventories on future revenue and income as demand is impacted by many factors, including seasonality, new product introductions, news events, political events, and consumer tastes. We expect our inventory levels will rise slightly during our second fiscal quarter before declining during the remainder of the fiscal year.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61616"/>
        </w:rPr>
        <w:t>Operating Expenses</w:t>
      </w:r>
    </w:p>
    <w:p>
      <w:pPr>
        <w:spacing w:after="0" w:line="121"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three months ended July 31, 2024 and 2023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5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74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26,054</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29.5 %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22.8 %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$716,000 over the prior year comparable quarter because of higher materials and testing costs associated with new product development and higher compensation-related costs. Selling, marketing, and distribution expenses decreased $203,000 from the prior year comparable quarter primarily as a result of a $2.0 million impairment recognized in the prior year comparable quarter on distribution equipment related to the Relocation. Excluding the impact of the prior year impairment charge, selling, marketing, and distribution expenses increased $1.8 million due to higher spending on promotions, to stimulate demand, and the timing of certain industry events. General and administrative expenses decreased $511,000 from the prior year comparable quarter, primarily because of lower profit sharing expense and lower Relocation costs, partially offset by higher legal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(Loss)/Income</w:t>
      </w:r>
    </w:p>
    <w:p>
      <w:pPr>
        <w:spacing w:after="0" w:line="121"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three months ended July 31, 2024 and 2023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(1,862 )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(6,211 )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-142.8 %</w:t>
            </w: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-2.1 %</w:t>
            </w: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Operating (loss)/income for the three months ended July 31, 2024 </w:t>
      </w:r>
      <w:r>
        <w:rPr>
          <w:rFonts w:ascii="Times New Roman" w:cs="Times New Roman" w:eastAsia="Times New Roman" w:hAnsi="Times New Roman"/>
          <w:sz w:val="18"/>
          <w:szCs w:val="18"/>
          <w:color w:val="161616"/>
        </w:rPr>
        <w:t>decreased $6.2 m</w:t>
      </w:r>
      <w:r>
        <w:rPr>
          <w:rFonts w:ascii="Times New Roman" w:cs="Times New Roman" w:eastAsia="Times New Roman" w:hAnsi="Times New Roman"/>
          <w:sz w:val="18"/>
          <w:szCs w:val="18"/>
          <w:color w:val="auto"/>
        </w:rPr>
        <w:t xml:space="preserve">illion from the comparable quarter last year, </w:t>
      </w:r>
      <w:r>
        <w:rPr>
          <w:rFonts w:ascii="Times New Roman" w:cs="Times New Roman" w:eastAsia="Times New Roman" w:hAnsi="Times New Roman"/>
          <w:sz w:val="18"/>
          <w:szCs w:val="18"/>
          <w:color w:val="161616"/>
        </w:rPr>
        <w:t>primarily</w:t>
      </w:r>
      <w:r>
        <w:rPr>
          <w:rFonts w:ascii="Times New Roman" w:cs="Times New Roman" w:eastAsia="Times New Roman" w:hAnsi="Times New Roman"/>
          <w:sz w:val="18"/>
          <w:szCs w:val="18"/>
          <w:color w:val="auto"/>
        </w:rPr>
        <w:t xml:space="preserve"> for the reasons outlined above.</w:t>
      </w:r>
    </w:p>
    <w:p>
      <w:pPr>
        <w:spacing w:after="0" w:line="2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three months ended July 31, 2024 and 2023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548"/>
              <w:spacing w:after="0"/>
              <w:rPr>
                <w:sz w:val="20"/>
                <w:szCs w:val="20"/>
                <w:color w:val="auto"/>
              </w:rPr>
            </w:pPr>
            <w:r>
              <w:rPr>
                <w:rFonts w:ascii="Times New Roman" w:cs="Times New Roman" w:eastAsia="Times New Roman" w:hAnsi="Times New Roman"/>
                <w:sz w:val="18"/>
                <w:szCs w:val="18"/>
                <w:color w:val="auto"/>
              </w:rPr>
              <w:t>(494 )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1,431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(1,925 )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-134.5 %</w:t>
            </w: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(loss)/income from operations (effective tax rate)</w:t>
            </w:r>
          </w:p>
        </w:tc>
        <w:tc>
          <w:tcPr>
            <w:tcW w:w="7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19.0 %</w:t>
            </w:r>
          </w:p>
        </w:tc>
        <w:tc>
          <w:tcPr>
            <w:tcW w:w="7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18"/>
          <w:szCs w:val="18"/>
          <w:color w:val="161616"/>
        </w:rPr>
        <w:t>decreased $1.9 million fro</w:t>
      </w:r>
      <w:r>
        <w:rPr>
          <w:rFonts w:ascii="Times New Roman" w:cs="Times New Roman" w:eastAsia="Times New Roman" w:hAnsi="Times New Roman"/>
          <w:sz w:val="18"/>
          <w:szCs w:val="18"/>
          <w:color w:val="auto"/>
        </w:rPr>
        <w:t>m the comparable quarter last year primarily as a resu</w:t>
      </w:r>
      <w:r>
        <w:rPr>
          <w:rFonts w:ascii="Times New Roman" w:cs="Times New Roman" w:eastAsia="Times New Roman" w:hAnsi="Times New Roman"/>
          <w:sz w:val="18"/>
          <w:szCs w:val="18"/>
          <w:color w:val="161616"/>
        </w:rPr>
        <w:t>lt of lower operating incom</w:t>
      </w:r>
      <w:r>
        <w:rPr>
          <w:rFonts w:ascii="Times New Roman" w:cs="Times New Roman" w:eastAsia="Times New Roman" w:hAnsi="Times New Roman"/>
          <w:sz w:val="18"/>
          <w:szCs w:val="18"/>
          <w:color w:val="auto"/>
        </w:rPr>
        <w:t>e. Before adjusting for discrete items related to stock-based compensation, the effective tax rate is 25.5% in the current quarter and 24.7% in the prior year comparable quarter. The increase in the effective tax rate was due to changes in state apportionment.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(Expense)/Income, net</w:t>
      </w:r>
    </w:p>
    <w:p>
      <w:pPr>
        <w:spacing w:after="0" w:line="121"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(expense)/income, net for the three months ended July 31, 2024 and 2023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(732 )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Interest expense increased by $885,000 over the comparable quarter last year as a result of higher average debt balances, lower capitalized interest, and lower average cash balances during the three months ended July 31, 2024 compared with the comparable quarter last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(Loss)/Income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(loss)/income and the related per share data for the three months ended July 31, 2024 and 2023 (dollars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(2,106 )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(5,224 )</w:t>
            </w:r>
          </w:p>
        </w:tc>
        <w:tc>
          <w:tcPr>
            <w:tcW w:w="1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-167.5 %</w:t>
            </w: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 per share</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FF0FC"/>
          </w:tcPr>
          <w:p>
            <w:pPr>
              <w:spacing w:after="0"/>
              <w:rPr>
                <w:sz w:val="22"/>
                <w:szCs w:val="22"/>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c>
          <w:tcPr>
            <w:tcW w:w="12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-171.4 %</w:t>
            </w: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-302260</wp:posOffset>
            </wp:positionV>
            <wp:extent cx="90043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00430" cy="154305"/>
                    </a:xfrm>
                    <a:prstGeom prst="rect">
                      <a:avLst/>
                    </a:prstGeom>
                    <a:noFill/>
                  </pic:spPr>
                </pic:pic>
              </a:graphicData>
            </a:graphic>
          </wp:anchor>
        </w:drawing>
      </w:r>
    </w:p>
    <w:p>
      <w:pPr>
        <w:spacing w:after="0" w:line="18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Net loss for the three months ended July 31, 2024 was $2.1 </w:t>
      </w:r>
      <w:r>
        <w:rPr>
          <w:rFonts w:ascii="Times New Roman" w:cs="Times New Roman" w:eastAsia="Times New Roman" w:hAnsi="Times New Roman"/>
          <w:sz w:val="18"/>
          <w:szCs w:val="18"/>
          <w:color w:val="161616"/>
        </w:rPr>
        <w:t>million co</w:t>
      </w:r>
      <w:r>
        <w:rPr>
          <w:rFonts w:ascii="Times New Roman" w:cs="Times New Roman" w:eastAsia="Times New Roman" w:hAnsi="Times New Roman"/>
          <w:sz w:val="18"/>
          <w:szCs w:val="18"/>
          <w:color w:val="auto"/>
        </w:rPr>
        <w:t>mpared with net incom</w:t>
      </w:r>
      <w:r>
        <w:rPr>
          <w:rFonts w:ascii="Times New Roman" w:cs="Times New Roman" w:eastAsia="Times New Roman" w:hAnsi="Times New Roman"/>
          <w:sz w:val="18"/>
          <w:szCs w:val="18"/>
          <w:color w:val="161616"/>
        </w:rPr>
        <w:t>e of $3.1 million</w:t>
      </w:r>
      <w:r>
        <w:rPr>
          <w:rFonts w:ascii="Times New Roman" w:cs="Times New Roman" w:eastAsia="Times New Roman" w:hAnsi="Times New Roman"/>
          <w:sz w:val="18"/>
          <w:szCs w:val="18"/>
          <w:color w:val="auto"/>
        </w:rPr>
        <w:t xml:space="preserve"> for the comparable quarter last year for the reasons outlined above.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principal cash requirements are to finance the growth of our operations, including working capital and capital expenditures, and return capital to stockholders. Capital expenditures for new product development, and repair and replacement of equipment represent important cash needs.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three months ended July 31, 2024 and 2023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(30,815 )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(71,445 )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-175.8 %</w:t>
            </w:r>
          </w:p>
        </w:tc>
        <w:tc>
          <w:tcPr>
            <w:tcW w:w="0" w:type="dxa"/>
            <w:vAlign w:val="bottom"/>
          </w:tcPr>
          <w:p>
            <w:pPr>
              <w:spacing w:after="0"/>
              <w:rPr>
                <w:sz w:val="1"/>
                <w:szCs w:val="1"/>
                <w:color w:val="auto"/>
              </w:rPr>
            </w:pPr>
          </w:p>
        </w:tc>
      </w:tr>
      <w:tr>
        <w:trPr>
          <w:trHeight w:val="245"/>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(4,665 )</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(32,067 )</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22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0" w:type="dxa"/>
            <w:vAlign w:val="bottom"/>
          </w:tcPr>
          <w:p>
            <w:pPr>
              <w:spacing w:after="0"/>
              <w:rPr>
                <w:sz w:val="1"/>
                <w:szCs w:val="1"/>
                <w:color w:val="auto"/>
              </w:rPr>
            </w:pPr>
          </w:p>
        </w:tc>
      </w:tr>
      <w:tr>
        <w:trPr>
          <w:trHeight w:val="25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(6,640 )</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220" w:type="dxa"/>
            <w:vAlign w:val="bottom"/>
            <w:shd w:val="clear" w:color="auto" w:fill="CFF0FC"/>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253.0 %</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flow</w:t>
            </w:r>
          </w:p>
        </w:tc>
        <w:tc>
          <w:tcPr>
            <w:tcW w:w="23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(25,324 )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(27,247 )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-1416.9 %</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-1096645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-1096645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-1250950</wp:posOffset>
            </wp:positionV>
            <wp:extent cx="960120"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601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305" w:right="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was $30.8 million for the three months ended July 31, 2024 compared with $40.6 million of cash provided for the three months ended July 31, 2023. Cash used in operating activities for the three months ended July 31, 2024 was unfavorably impacted by a $29.3 million increase in inventory compared with a $6.4 million decrease in inventory in the prior comparable period, an $11.3 million decrease in accounts receivable compared with a $27.0 million decrease in accounts receivable in the prior comparable period, an $11.7 million decrease in accounts payable compared with a $1.8 million decrease in accounts payable in the prior comparable period, and a $4.8 million decrease in accrued payroll and incentives compared with a $1.6 million increase in accrued payroll and incentives in the prior comparable period.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decreased $27.4 million for the three months ended July 31, 2024 compared with the prior year comparable period. We paid $4.7 million for capital expenditures for the three months ended July 31, 2024, $27.4 million lower than the prior year comparable period primarily due to payments related to the Relocation in the prior year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expect to spend $25.0 million to $30.0 million on capital expenditures in fiscal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$10.2 million for the three months ended July 31, 2024 compared with $6.6 million of cash used in financing activities for the three months ended July 31, 2023. Cash provided by financing activities during the three months ended July 31, 2024 was primarily the result of $30 million in borrowings under our revolving line of credit, partially offset by $12.9 million of share repurchases and $5.9 million in dividend distributions.</w:t>
      </w:r>
    </w:p>
    <w:p>
      <w:pPr>
        <w:spacing w:after="0" w:line="1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Finance Lease </w:t>
      </w:r>
      <w:r>
        <w:rPr>
          <w:rFonts w:ascii="Times New Roman" w:cs="Times New Roman" w:eastAsia="Times New Roman" w:hAnsi="Times New Roman"/>
          <w:sz w:val="18"/>
          <w:szCs w:val="18"/>
          <w:color w:val="auto"/>
        </w:rPr>
        <w:t>– We are a party to a material finance lease, the Missouri Lease which is a $46.2 million lease for the Missouri Distribution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has an effective interest rate of approximately 5.0% and is payable in 240 monthly installments through fiscal 2039. The building is pledged to secure the amounts outstanding. With the completion of the Separation, we entered into the Missouri Sublease. In July 2022, we entered into an amendment to the Missouri Sublease, increasing the subleased space to 64.7% of the facility under the same terms as the Missouri Lease. As part of the Relocation, in January 2023, we entered into the Assignment and Assumption Agreement and the Amended and Restated Guaranty. We terminated the Missouri Sublease as of January 1, 2024. During the three months ended July 31, 2024, the finance lease liability relating to the Missouri Lease was reduced by $366,000 as a result of payments made by AOUT directly to the landlord. During the three months ended July 31, 2024, we recognized $878,000 of related income, of which $424,000 was recorded in general and administrative expenses and $454,000 was recorded in interest expense, net, in our condensed consolidated statements of operations.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We maintain an unsecured revolving line of credit with TD Bank, N.A. and other lenders, or the Lenders, which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up to $100.0 million at any one time, or the Revolving Line. The Revolving Line provides for availability for general corporate purposes, with borrowings to bear interest at either the Base Rate or SOFR rate, plus an applicable margin based on our consolidated leverage ratio, as of July 31, 2024. The credit agreement also provides a swingline facility in the maximum amount of $5.0 million at any one time (subject to availability under the Revolving Line). Each Swingline Loan bears interest at the Base Rate, plus an applicable margin based on our consolidated leverage ratio. In response to a Springing Lien Triggering Event (as defined in the credit agreement), we would be required to enter into certain documents that create in favor of TD Bank, N.A., as administrative agent, and the lenders party to such documents as legal, valid, and enforceable first priority lien on the collateral described therein. Subject to the satisfaction of certain terms and conditions described in the credit agreement, we have an option to increase the Revolving Line by an aggregate amount not exceeding $50.0 million. The Revolving Line matures on the earlier of August 24, 2025, or the date that is six months in advance of the earliest maturity of any permitted notes under the credit agreement. On April 28, 2023, we amended our existing credit agreement to, among other things, replace LIBOR with SOFR as the interest rate benchmark and amend the definition of “Consolidated Fixed Charge Coverage Ratio” to exclude unfinanced capital expenditures in connection with the Relocation.</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July 31, 2024, we had $70.0 million of borrowings outstanding on the Revolving Line, bearing interest at an average rate of 7.19%, which was equal to the SOFR rate plus an applicable margin.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credit agreement for our credit facility contains financial covenants relating to maintaining maximum leverage and minimum debt service coverage. We were in compliance with all debt covenants as of July 31, 2024.</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Programs </w:t>
      </w:r>
      <w:r>
        <w:rPr>
          <w:rFonts w:ascii="Times New Roman" w:cs="Times New Roman" w:eastAsia="Times New Roman" w:hAnsi="Times New Roman"/>
          <w:sz w:val="18"/>
          <w:szCs w:val="18"/>
          <w:color w:val="auto"/>
        </w:rPr>
        <w:t>— On September 19, 2023, our Board of Directors authorized the repurchase of up to $50.0 million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subject to certain conditions, in the open market or in privately negotiated transactions through September 19, 2024. During fiscal 2024, we purchased 793,551 shares of our common stock for $10.2 million under this authorization. During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three months ended July 31, 2024, we repurchased 870,669 shares of our common stock for $12.9 million under this authorization. There were no common stock purchases during the three months ended July 31, 2023, nor were there any unfulfilled authorizations. On September 5, 2024, our Board of Directors authorized the repurchase of up to $50.0 million of our common stock, subject to certain conditions, in the open market or in privately negotiated transactions from September 20, 2024 through September 20, 2025.</w:t>
      </w:r>
    </w:p>
    <w:p>
      <w:pPr>
        <w:spacing w:after="0" w:line="17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 </w:t>
      </w:r>
      <w:r>
        <w:rPr>
          <w:rFonts w:ascii="Times New Roman" w:cs="Times New Roman" w:eastAsia="Times New Roman" w:hAnsi="Times New Roman"/>
          <w:sz w:val="18"/>
          <w:szCs w:val="18"/>
          <w:color w:val="auto"/>
        </w:rPr>
        <w:t>In June 2024, our Board of Directors authorized a regular quarterly dividend for stockholders of $0.13 per share. The current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for stockholders of record as of market close on September 19, 2024 and will be payable on October 3, 2024.</w:t>
      </w:r>
    </w:p>
    <w:p>
      <w:pPr>
        <w:spacing w:after="0" w:line="1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and costs related to the Relocation.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July 31, 2024, we had $35.5 million in cash and cash equivalents on hand. Based upon our current working capital position, current operating plans, and expected business conditions, we believe that our existing capital resources and credit facilities will be adequate to fund our operations for at least the next 12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2 of the Notes to the Consolidated Financial Statements in our Fiscal 2024 Annual Report. The most significant areas involving our judgments and estimates are described in Management’s Discussion and Analysis of Financial Condition and Results of Operations in our Fiscal 2024 Annual Report, to which there have been no material changes. Actual results could differ from our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if any, is discussed in Note </w:t>
      </w:r>
      <w:r>
        <w:rPr>
          <w:rFonts w:ascii="Times New Roman" w:cs="Times New Roman" w:eastAsia="Times New Roman" w:hAnsi="Times New Roman"/>
          <w:sz w:val="18"/>
          <w:szCs w:val="18"/>
          <w:i w:val="1"/>
          <w:iCs w:val="1"/>
          <w:color w:val="auto"/>
        </w:rPr>
        <w:t>2—Basis of Presentation</w:t>
      </w:r>
      <w:r>
        <w:rPr>
          <w:rFonts w:ascii="Times New Roman" w:cs="Times New Roman" w:eastAsia="Times New Roman" w:hAnsi="Times New Roman"/>
          <w:sz w:val="18"/>
          <w:szCs w:val="18"/>
          <w:color w:val="auto"/>
        </w:rPr>
        <w:t xml:space="preserve"> to our condensed consolidated financial statements included elsewhere in this report,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period ended July 31, 2024, we did not enter into or transact any forward option contracts nor did we have any forward contracts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concluded that, as of July 31, 2024,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The nature of legal proceedings against us is discussed in Note 9</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included elsewhere in this report,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that could materially affect our business, results of operations, financial condition, and cash flows as set forth under Part I, Item 1A “Risk Factors” of our 2024 Form 10-K. Additional risks and uncertainties not presently known to us or that we currently believe not to be material may also adversely impact our business, results of operations, financial position, and cash flows. We are aware of no material changes to the Risk Factors discussed in our 2024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relating to the purchases of our common stock by us and any affiliated purchasers within the meaning of Rule 10b-18(a)(3) under the Exchange Act during the three months ended July 31, 2024 (dollars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of Shares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 Dollar</w:t>
            </w:r>
          </w:p>
        </w:tc>
      </w:tr>
      <w:tr>
        <w:trPr>
          <w:trHeight w:val="176"/>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of Shares</w:t>
            </w:r>
          </w:p>
        </w:tc>
      </w:tr>
      <w:tr>
        <w:trPr>
          <w:trHeight w:val="176"/>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75"/>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176"/>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Under the Plans</w:t>
            </w:r>
          </w:p>
        </w:tc>
      </w:tr>
      <w:tr>
        <w:trPr>
          <w:trHeight w:val="187"/>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Per Share (1)</w:t>
            </w:r>
          </w:p>
        </w:tc>
        <w:tc>
          <w:tcPr>
            <w:tcW w:w="2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Pr>
          <w:p>
            <w:pPr>
              <w:spacing w:after="0"/>
              <w:rPr>
                <w:sz w:val="16"/>
                <w:szCs w:val="16"/>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1 to May 31, 2024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81,865</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81,865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38,467</w:t>
            </w:r>
          </w:p>
        </w:tc>
        <w:tc>
          <w:tcPr>
            <w:tcW w:w="100" w:type="dxa"/>
            <w:vAlign w:val="bottom"/>
            <w:shd w:val="clear" w:color="auto" w:fill="CFF0FC"/>
          </w:tcPr>
          <w:p>
            <w:pPr>
              <w:spacing w:after="0"/>
              <w:rPr>
                <w:sz w:val="20"/>
                <w:szCs w:val="20"/>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 to June 30,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556,653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556,653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30,211</w:t>
            </w:r>
          </w:p>
        </w:tc>
        <w:tc>
          <w:tcPr>
            <w:tcW w:w="100" w:type="dxa"/>
            <w:vAlign w:val="bottom"/>
          </w:tcPr>
          <w:p>
            <w:pPr>
              <w:spacing w:after="0"/>
              <w:rPr>
                <w:sz w:val="20"/>
                <w:szCs w:val="20"/>
                <w:color w:val="auto"/>
              </w:rPr>
            </w:pPr>
          </w:p>
        </w:tc>
      </w:tr>
      <w:tr>
        <w:trPr>
          <w:trHeight w:val="247"/>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to July 31, 2024</w:t>
            </w:r>
          </w:p>
        </w:tc>
        <w:tc>
          <w:tcPr>
            <w:tcW w:w="1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232,151</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232,151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870,669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870,669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-187960</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520" w:hanging="512"/>
        <w:spacing w:after="0" w:line="258"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September 19, 2023, our Board of Directors authorized the repurchase of up to $50.0 million of our common stock, subject to certain conditions, in the open market or in privately negotiated transactions through September 19, 2024. During fiscal 2024, we purchased 793,551 shares of our common stock for $10.2 million under this authorization. During the three months ended July 31, 2024, we repurchased 870,669 shares of our common stock for </w:t>
      </w:r>
      <w:r>
        <w:rPr>
          <w:rFonts w:ascii="Times New Roman" w:cs="Times New Roman" w:eastAsia="Times New Roman" w:hAnsi="Times New Roman"/>
          <w:sz w:val="18"/>
          <w:szCs w:val="18"/>
          <w:color w:val="161616"/>
        </w:rPr>
        <w:t>$12.9 million</w:t>
      </w:r>
      <w:r>
        <w:rPr>
          <w:rFonts w:ascii="Times New Roman" w:cs="Times New Roman" w:eastAsia="Times New Roman" w:hAnsi="Times New Roman"/>
          <w:sz w:val="18"/>
          <w:szCs w:val="18"/>
          <w:color w:val="auto"/>
        </w:rPr>
        <w:t>. On September 5, 2024, our Board of Directors authorized the repurchase of up to $50.0 million of our common stock, subject to certain conditions, in the open market or in privately negotiated transactions from September 20, 2024 through September 20, 2025.</w:t>
      </w:r>
    </w:p>
    <w:p>
      <w:pPr>
        <w:spacing w:after="0" w:line="7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per share excludes fees paid to acquire the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2024, none of our directors or officers adopted or terminated a "Rule 10b5-1 trading arrangement" or a “non-Rule 10b5-1 trading arrangement” (in each case,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(immediately preceding the signatures section of this Quarterly Report on Form 10-Q) are included herewith or incorporated herein by reference.</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5100" w:type="dxa"/>
            <w:vAlign w:val="bottom"/>
            <w:tcBorders>
              <w:left w:val="single" w:sz="8" w:color="0000FF"/>
            </w:tcBorders>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9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000" w:type="dxa"/>
            <w:vAlign w:val="bottom"/>
            <w:tcBorders>
              <w:left w:val="single" w:sz="8" w:color="0000FF"/>
            </w:tcBorders>
            <w:gridSpan w:val="2"/>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9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r>
      <w:tr>
        <w:trPr>
          <w:trHeight w:val="39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9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57" w:lineRule="exact"/>
        <w:rPr>
          <w:sz w:val="20"/>
          <w:szCs w:val="20"/>
          <w:color w:val="auto"/>
        </w:rPr>
      </w:pPr>
    </w:p>
    <w:p>
      <w:pPr>
        <w:ind w:right="4300" w:firstLine="21"/>
        <w:spacing w:after="0" w:line="441" w:lineRule="auto"/>
        <w:tabs>
          <w:tab w:leader="none" w:pos="114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 Page Interactive Data File (embedded within the Inline XBRL document)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Filed herewith.</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756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SMITH &amp; WESSON BRANDS, INC.</w:t>
            </w:r>
          </w:p>
        </w:tc>
      </w:tr>
      <w:tr>
        <w:trPr>
          <w:trHeight w:val="234"/>
        </w:trPr>
        <w:tc>
          <w:tcPr>
            <w:tcW w:w="3680" w:type="dxa"/>
            <w:vAlign w:val="bottom"/>
          </w:tcPr>
          <w:p>
            <w:pPr>
              <w:spacing w:after="0"/>
              <w:rPr>
                <w:sz w:val="20"/>
                <w:szCs w:val="20"/>
                <w:color w:val="auto"/>
              </w:rPr>
            </w:pPr>
          </w:p>
        </w:tc>
        <w:tc>
          <w:tcPr>
            <w:tcW w:w="756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40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5, 2024</w:t>
            </w:r>
          </w:p>
        </w:tc>
        <w:tc>
          <w:tcPr>
            <w:tcW w:w="756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P. Smith</w:t>
            </w:r>
          </w:p>
        </w:tc>
      </w:tr>
      <w:tr>
        <w:trPr>
          <w:trHeight w:val="228"/>
        </w:trPr>
        <w:tc>
          <w:tcPr>
            <w:tcW w:w="36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P. Smith</w:t>
            </w:r>
          </w:p>
        </w:tc>
      </w:tr>
      <w:tr>
        <w:trPr>
          <w:trHeight w:val="238"/>
        </w:trPr>
        <w:tc>
          <w:tcPr>
            <w:tcW w:w="36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9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5, 2024</w:t>
            </w:r>
          </w:p>
        </w:tc>
        <w:tc>
          <w:tcPr>
            <w:tcW w:w="756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Deana L. McPherson</w:t>
            </w:r>
          </w:p>
        </w:tc>
      </w:tr>
      <w:tr>
        <w:trPr>
          <w:trHeight w:val="228"/>
        </w:trPr>
        <w:tc>
          <w:tcPr>
            <w:tcW w:w="36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Deana L. McPherson</w:t>
            </w:r>
          </w:p>
        </w:tc>
      </w:tr>
      <w:tr>
        <w:trPr>
          <w:trHeight w:val="218"/>
        </w:trPr>
        <w:tc>
          <w:tcPr>
            <w:tcW w:w="36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tc>
      </w:tr>
      <w:tr>
        <w:trPr>
          <w:trHeight w:val="236"/>
        </w:trPr>
        <w:tc>
          <w:tcPr>
            <w:tcW w:w="36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tc>
      </w:tr>
      <w:tr>
        <w:trPr>
          <w:trHeight w:val="662"/>
        </w:trPr>
        <w:tc>
          <w:tcPr>
            <w:tcW w:w="3680" w:type="dxa"/>
            <w:vAlign w:val="bottom"/>
          </w:tcPr>
          <w:p>
            <w:pPr>
              <w:spacing w:after="0"/>
              <w:rPr>
                <w:sz w:val="24"/>
                <w:szCs w:val="24"/>
                <w:color w:val="auto"/>
              </w:rPr>
            </w:pPr>
          </w:p>
        </w:tc>
        <w:tc>
          <w:tcPr>
            <w:tcW w:w="32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27</w:t>
            </w:r>
          </w:p>
        </w:tc>
        <w:tc>
          <w:tcPr>
            <w:tcW w:w="430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 Smith, certify that:</w:t>
      </w:r>
    </w:p>
    <w:p>
      <w:pPr>
        <w:spacing w:after="0" w:line="117" w:lineRule="exact"/>
        <w:rPr>
          <w:sz w:val="20"/>
          <w:szCs w:val="20"/>
          <w:color w:val="auto"/>
        </w:rPr>
      </w:pPr>
    </w:p>
    <w:p>
      <w:pPr>
        <w:ind w:left="700" w:hanging="183"/>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1026"/>
        <w:spacing w:after="0" w:line="266" w:lineRule="auto"/>
        <w:tabs>
          <w:tab w:leader="none" w:pos="127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80" w:firstLine="1026"/>
        <w:spacing w:after="0" w:line="282" w:lineRule="auto"/>
        <w:tabs>
          <w:tab w:leader="none" w:pos="12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60" w:firstLine="1026"/>
        <w:spacing w:after="0" w:line="282" w:lineRule="auto"/>
        <w:tabs>
          <w:tab w:leader="none" w:pos="127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27305</wp:posOffset>
            </wp:positionV>
            <wp:extent cx="25888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Mark P. Smith</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8" w:name="page29"/>
    <w:bookmarkEnd w:id="2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Deana L. McPherson, certify that:</w:t>
      </w:r>
    </w:p>
    <w:p>
      <w:pPr>
        <w:spacing w:after="0" w:line="117" w:lineRule="exact"/>
        <w:rPr>
          <w:sz w:val="20"/>
          <w:szCs w:val="20"/>
          <w:color w:val="auto"/>
        </w:rPr>
      </w:pPr>
    </w:p>
    <w:p>
      <w:pPr>
        <w:ind w:left="700" w:hanging="183"/>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1026"/>
        <w:spacing w:after="0" w:line="266" w:lineRule="auto"/>
        <w:tabs>
          <w:tab w:leader="none" w:pos="12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80" w:firstLine="1026"/>
        <w:spacing w:after="0" w:line="282" w:lineRule="auto"/>
        <w:tabs>
          <w:tab w:leader="none" w:pos="12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60" w:firstLine="1026"/>
        <w:spacing w:after="0" w:line="282" w:lineRule="auto"/>
        <w:tabs>
          <w:tab w:leader="none" w:pos="12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27305</wp:posOffset>
            </wp:positionV>
            <wp:extent cx="2588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9" w:name="page30"/>
    <w:bookmarkEnd w:id="29"/>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8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July 31, 2024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45" w:lineRule="exact"/>
        <w:rPr>
          <w:sz w:val="20"/>
          <w:szCs w:val="20"/>
          <w:color w:val="auto"/>
        </w:rPr>
      </w:pPr>
    </w:p>
    <w:p>
      <w:pPr>
        <w:ind w:left="66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27305</wp:posOffset>
            </wp:positionV>
            <wp:extent cx="25888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Mark P. Smith</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2024</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86"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July 31, 2024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45" w:lineRule="exact"/>
        <w:rPr>
          <w:sz w:val="20"/>
          <w:szCs w:val="20"/>
          <w:color w:val="auto"/>
        </w:rPr>
      </w:pPr>
    </w:p>
    <w:p>
      <w:pPr>
        <w:ind w:left="66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27305</wp:posOffset>
            </wp:positionV>
            <wp:extent cx="25888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Treasurer, and Assistant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2024</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lvl w:ilvl="1">
      <w:lvlJc w:val="left"/>
      <w:lvlText w:val="%2"/>
      <w:numFmt w:val="decimal"/>
      <w:start w:val="104"/>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2024-09-05T15:46:17Z</dcterms:created>
  <dcterms:modified xsi:type="dcterms:W3CDTF">2024-09-05T15:46:17Z</dcterms:modified>
</cp:coreProperties>
</file>