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Maxwell Kevin Alden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1852 PROFFITT SPRINGS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SMITH &amp; WESSON BRANDS, INC.</w:t>
              </w:r>
            </w:hyperlink>
            <w:r>
              <w:rPr/>
              <w:t xml:space="preserve"> [ </w:t>
            </w:r>
            <w:r>
              <w:rPr>
                <w:rFonts w:ascii="Times;serif" w:hAnsi="Times;serif"/>
                <w:color w:val="0000FF"/>
                <w:sz w:val="24"/>
                <w:shd w:fill="FFFFFF" w:val="clear"/>
              </w:rPr>
              <w:t>SWBI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27,612</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129,142</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6,854</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15.57</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122,288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653</w:t>
            </w:r>
            <w:r>
              <w:rPr>
                <w:rFonts w:ascii="Times;serif" w:hAnsi="Times;serif"/>
                <w:color w:val="008000"/>
                <w:position w:val="7"/>
                <w:sz w:val="16"/>
                <w:sz w:val="20"/>
                <w:shd w:fill="FFFFFF" w:val="clear"/>
              </w:rPr>
              <w:t>(3)</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14.97</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121,635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1/4th of the RSUs shall vest on each of the first, second, third, and fourth annual anniversaries of the date of grant. Shares, net of tax withholding, will be delivered on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2,616 shares acquired under the Issuer's Employee Stock Purchase Plan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Issuer to satisfy certain tax withholding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recieve one share of the Issuer's common stock. The performance rights vest based on achievement of certain target performance of the Issuer's stock price over a three year period. The number represents the maximum number of shares that may be delivered pursuant to the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Senior Vice President, General Counsel, Chief Compliance Officer,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Deana McPherson,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0822" TargetMode="External"/><Relationship Id="rId5" Type="http://schemas.openxmlformats.org/officeDocument/2006/relationships/hyperlink" Target="http://www.sec.gov/cgi-bin/browse-edgar?action=getcompany&amp;CIK=0001092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3999</Characters>
  <CharactersWithSpaces>4653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