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McPherson Deana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1852 PROFFITT SPRINGS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MARYVILLE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SMITH &amp; WESSON BRANDS, INC.</w:t>
              </w:r>
            </w:hyperlink>
            <w:r>
              <w:rPr/>
              <w:t xml:space="preserve"> [ </w:t>
            </w:r>
            <w:r>
              <w:rPr>
                <w:rFonts w:ascii="Times;serif" w:hAnsi="Times;serif"/>
                <w:color w:val="0000FF"/>
                <w:sz w:val="24"/>
                <w:shd w:fill="FFFFFF" w:val="clear"/>
              </w:rPr>
              <w:t>SWBI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69"/>
        <w:gridCol w:w="449"/>
        <w:gridCol w:w="752"/>
        <w:gridCol w:w="1186"/>
        <w:gridCol w:w="991"/>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27,612</w:t>
            </w:r>
            <w:r>
              <w:rPr>
                <w:rFonts w:ascii="Times;serif" w:hAnsi="Times;serif"/>
                <w:color w:val="008000"/>
                <w:position w:val="7"/>
                <w:sz w:val="16"/>
                <w:sz w:val="20"/>
                <w:shd w:fill="FFFFFF" w:val="clear"/>
              </w:rPr>
              <w:t>(1)</w:t>
            </w:r>
            <w:r>
              <w:rPr/>
              <w:t xml:space="preserve"> </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166,294</w:t>
            </w:r>
            <w:r>
              <w:rPr>
                <w:rFonts w:ascii="Times;serif" w:hAnsi="Times;serif"/>
                <w:color w:val="008000"/>
                <w:position w:val="7"/>
                <w:sz w:val="16"/>
                <w:sz w:val="20"/>
                <w:shd w:fill="FFFFFF" w:val="clear"/>
              </w:rPr>
              <w:t>(2)</w:t>
            </w:r>
            <w:r>
              <w:rPr/>
              <w:t xml:space="preserve"> </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6,660</w:t>
            </w:r>
            <w:r>
              <w:rPr>
                <w:rFonts w:ascii="Times;serif" w:hAnsi="Times;serif"/>
                <w:color w:val="008000"/>
                <w:position w:val="7"/>
                <w:sz w:val="16"/>
                <w:sz w:val="20"/>
                <w:shd w:fill="FFFFFF" w:val="clear"/>
              </w:rPr>
              <w:t>(3)</w:t>
            </w:r>
            <w:r>
              <w:rPr/>
              <w:t xml:space="preserve"> </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15.57</w:t>
            </w:r>
            <w:r>
              <w:rPr/>
              <w:t xml:space="preserve"> </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159,634</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880</w:t>
            </w:r>
            <w:r>
              <w:rPr>
                <w:rFonts w:ascii="Times;serif" w:hAnsi="Times;serif"/>
                <w:color w:val="008000"/>
                <w:position w:val="7"/>
                <w:sz w:val="16"/>
                <w:sz w:val="20"/>
                <w:shd w:fill="FFFFFF" w:val="clear"/>
              </w:rPr>
              <w:t>(3)</w:t>
            </w:r>
            <w:r>
              <w:rPr/>
              <w:t xml:space="preserve"> </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14.97</w:t>
            </w:r>
            <w:r>
              <w:rPr/>
              <w:t xml:space="preserve"> </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158,754</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55,222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55,222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55,222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1/4th of the RSUs shall vest on each of the first, second, third, and fourth annual anniversaries of the date of grant. Shares, net of tax withholding, will be delivered on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599 shares acquired under the Issuer's Employee Stock Purchase Plan on September 30, 2025 and 599 shares acquired under the Issuer's Employee Stock Purchase Plan on March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common stock withheld by the Issuer to satisfy certain tax withholding obligations associated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performance right represents a contingent right to recieve one share of the Issuer's common stock. The performance rights vest based on achievement of certain target performance of the Issuer's stock price over a three year period. The number represents the maximum number of shares that may be delivered pursuant to the award.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 is Executive Vice President, Chief Financial Officer, Treasurer, and Assistant Secretary.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Deana McPherson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05810" TargetMode="External"/><Relationship Id="rId5" Type="http://schemas.openxmlformats.org/officeDocument/2006/relationships/hyperlink" Target="http://www.sec.gov/cgi-bin/browse-edgar?action=getcompany&amp;CIK=00010927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752</Words>
  <Characters>4061</Characters>
  <CharactersWithSpaces>4728</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